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10F" w:rsidRPr="00FF72FC" w:rsidRDefault="002F010F" w:rsidP="002F010F">
      <w:pPr>
        <w:pBdr>
          <w:bottom w:val="single" w:sz="4" w:space="1" w:color="auto"/>
        </w:pBdr>
        <w:spacing w:line="360" w:lineRule="auto"/>
        <w:rPr>
          <w:rFonts w:ascii="Sylfaen" w:hAnsi="Sylfaen"/>
          <w:b/>
          <w:caps/>
          <w:color w:val="auto"/>
          <w:sz w:val="16"/>
          <w:szCs w:val="16"/>
        </w:rPr>
      </w:pPr>
      <w:r w:rsidRPr="00FF72FC">
        <w:rPr>
          <w:rFonts w:ascii="Sylfaen" w:hAnsi="Sylfaen"/>
          <w:b/>
          <w:caps/>
          <w:noProof/>
          <w:color w:val="auto"/>
          <w:sz w:val="16"/>
          <w:szCs w:val="16"/>
          <w:lang w:val="ru-RU" w:eastAsia="ru-RU"/>
        </w:rPr>
        <w:drawing>
          <wp:inline distT="0" distB="0" distL="0" distR="0" wp14:anchorId="0A5D1E95" wp14:editId="316AFD7E">
            <wp:extent cx="1924050" cy="866775"/>
            <wp:effectExtent l="0" t="0" r="0" b="9525"/>
            <wp:docPr id="5" name="Рисунок 5" descr="SDC_RGB_hoch_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_RGB_hoch_p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2FC">
        <w:rPr>
          <w:rFonts w:ascii="Sylfaen" w:hAnsi="Sylfaen"/>
          <w:b/>
          <w:caps/>
          <w:color w:val="auto"/>
          <w:sz w:val="16"/>
          <w:szCs w:val="16"/>
        </w:rPr>
        <w:t xml:space="preserve">                                </w:t>
      </w:r>
      <w:r w:rsidRPr="00FF72FC">
        <w:rPr>
          <w:rFonts w:ascii="Sylfaen" w:hAnsi="Sylfaen"/>
          <w:b/>
          <w:caps/>
          <w:noProof/>
          <w:color w:val="auto"/>
          <w:sz w:val="16"/>
          <w:szCs w:val="16"/>
          <w:lang w:val="ru-RU" w:eastAsia="ru-RU"/>
        </w:rPr>
        <w:drawing>
          <wp:inline distT="0" distB="0" distL="0" distR="0" wp14:anchorId="708B8990" wp14:editId="34293B65">
            <wp:extent cx="2101850" cy="866775"/>
            <wp:effectExtent l="0" t="0" r="0" b="9525"/>
            <wp:docPr id="4" name="Рисунок 4" descr="SDA_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A_N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0F" w:rsidRPr="00FF72FC" w:rsidRDefault="002F010F" w:rsidP="002F010F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2F010F" w:rsidRPr="00FF72FC" w:rsidRDefault="002F010F" w:rsidP="002F010F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2F010F" w:rsidRPr="00FF72FC" w:rsidRDefault="002F010F" w:rsidP="002F010F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2F010F" w:rsidRPr="00FF72FC" w:rsidRDefault="002F010F" w:rsidP="002F010F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2F010F" w:rsidRPr="00FF72FC" w:rsidRDefault="002F010F" w:rsidP="002F010F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  <w:r w:rsidRPr="00FF72FC">
        <w:rPr>
          <w:rFonts w:ascii="Sylfaen" w:hAnsi="Sylfaen" w:cs="Sylfaen"/>
          <w:b/>
          <w:color w:val="auto"/>
          <w:sz w:val="16"/>
          <w:szCs w:val="16"/>
        </w:rPr>
        <w:t xml:space="preserve">ԱՆԱՍՆԱՊԱՀՈՒԹՅԱՆ ԶԱՐԳԱՑՈՒՄ ՀԱՅԱՍՏԱՆԻ </w:t>
      </w:r>
    </w:p>
    <w:p w:rsidR="002F010F" w:rsidRPr="00FF72FC" w:rsidRDefault="002F010F" w:rsidP="002F010F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  <w:r w:rsidRPr="00FF72FC">
        <w:rPr>
          <w:rFonts w:ascii="Sylfaen" w:hAnsi="Sylfaen" w:cs="Sylfaen"/>
          <w:b/>
          <w:color w:val="auto"/>
          <w:sz w:val="16"/>
          <w:szCs w:val="16"/>
        </w:rPr>
        <w:t xml:space="preserve">ՀԱՐԱՎՈՒՄ </w:t>
      </w:r>
    </w:p>
    <w:p w:rsidR="002F010F" w:rsidRPr="00FF72FC" w:rsidRDefault="002F010F" w:rsidP="002F010F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</w:p>
    <w:p w:rsidR="002F010F" w:rsidRPr="00FF72FC" w:rsidRDefault="002F010F" w:rsidP="002F010F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  <w:r w:rsidRPr="00FF72FC">
        <w:rPr>
          <w:rFonts w:ascii="Sylfaen" w:hAnsi="Sylfaen"/>
          <w:b/>
          <w:caps/>
          <w:noProof/>
          <w:sz w:val="16"/>
          <w:szCs w:val="16"/>
          <w:lang w:val="ru-RU" w:eastAsia="ru-RU"/>
        </w:rPr>
        <w:drawing>
          <wp:inline distT="0" distB="0" distL="0" distR="0" wp14:anchorId="2CD862B1" wp14:editId="044EE158">
            <wp:extent cx="5652770" cy="3515360"/>
            <wp:effectExtent l="0" t="0" r="5080" b="8890"/>
            <wp:docPr id="3" name="Рисунок 3" descr="DSC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0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1" b="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0F" w:rsidRPr="00FF72FC" w:rsidRDefault="002F010F" w:rsidP="002F010F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</w:p>
    <w:p w:rsidR="002F010F" w:rsidRPr="00FF72FC" w:rsidRDefault="002F010F" w:rsidP="002F010F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  <w:r w:rsidRPr="00FF72FC">
        <w:rPr>
          <w:rFonts w:ascii="Sylfaen" w:hAnsi="Sylfaen"/>
          <w:b/>
          <w:caps/>
          <w:color w:val="auto"/>
          <w:sz w:val="16"/>
          <w:szCs w:val="16"/>
        </w:rPr>
        <w:t xml:space="preserve">ԵՂԵԳԻՍ ՀԱՄԱՅՆՔԻ Թառաթումբ ԲՆԱԿԱՎԱՅՐԻ ԱՐՈՏԱՎԱՅՐԵՐԻ ԿԱՌԱՎԱՐՄԱՆ ԵՎ ԱՆԱՍՆԱՊԱՀՈՒԹՅԱՆ ԶԱՐԳԱՑՄԱՆ ՊԼԱՆ </w:t>
      </w:r>
    </w:p>
    <w:p w:rsidR="002F010F" w:rsidRPr="00FF72FC" w:rsidRDefault="002F010F" w:rsidP="002F010F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</w:p>
    <w:p w:rsidR="002F010F" w:rsidRPr="00FF72FC" w:rsidRDefault="002F010F" w:rsidP="002F010F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2F010F" w:rsidRPr="00FF72FC" w:rsidRDefault="002F010F" w:rsidP="002F010F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2F010F" w:rsidRPr="00FF72FC" w:rsidRDefault="002F010F" w:rsidP="002F010F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2F010F" w:rsidRPr="00FF72FC" w:rsidRDefault="002F010F" w:rsidP="002F010F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  <w:r w:rsidRPr="00FF72FC">
        <w:rPr>
          <w:rFonts w:ascii="Sylfaen" w:hAnsi="Sylfaen"/>
          <w:b/>
          <w:color w:val="auto"/>
          <w:sz w:val="16"/>
          <w:szCs w:val="16"/>
        </w:rPr>
        <w:t>2019թ.</w:t>
      </w:r>
    </w:p>
    <w:p w:rsidR="002F010F" w:rsidRPr="00FF72FC" w:rsidRDefault="002F010F" w:rsidP="002F010F">
      <w:pPr>
        <w:spacing w:line="360" w:lineRule="auto"/>
        <w:rPr>
          <w:rFonts w:ascii="Sylfaen" w:hAnsi="Sylfaen"/>
          <w:b/>
          <w:color w:val="auto"/>
          <w:sz w:val="16"/>
          <w:szCs w:val="16"/>
        </w:rPr>
        <w:sectPr w:rsidR="002F010F" w:rsidRPr="00FF72FC">
          <w:pgSz w:w="11907" w:h="16840"/>
          <w:pgMar w:top="1440" w:right="1440" w:bottom="1440" w:left="1440" w:header="709" w:footer="843" w:gutter="0"/>
          <w:pgNumType w:start="0" w:chapStyle="1"/>
          <w:cols w:space="720"/>
        </w:sectPr>
      </w:pPr>
    </w:p>
    <w:p w:rsidR="002F010F" w:rsidRPr="00FF72FC" w:rsidRDefault="002F010F" w:rsidP="002F010F">
      <w:pPr>
        <w:jc w:val="center"/>
        <w:rPr>
          <w:b/>
          <w:sz w:val="16"/>
          <w:szCs w:val="16"/>
        </w:rPr>
      </w:pPr>
      <w:r w:rsidRPr="00FF72FC">
        <w:rPr>
          <w:rFonts w:ascii="Sylfaen" w:hAnsi="Sylfaen" w:cs="Sylfaen"/>
          <w:b/>
          <w:sz w:val="16"/>
          <w:szCs w:val="16"/>
        </w:rPr>
        <w:lastRenderedPageBreak/>
        <w:t>Բովանդակություն</w:t>
      </w:r>
    </w:p>
    <w:p w:rsidR="002F010F" w:rsidRPr="00FF72FC" w:rsidRDefault="002F010F" w:rsidP="002F010F">
      <w:pPr>
        <w:spacing w:line="360" w:lineRule="auto"/>
        <w:rPr>
          <w:rFonts w:ascii="Sylfaen" w:hAnsi="Sylfaen"/>
          <w:color w:val="auto"/>
          <w:sz w:val="16"/>
          <w:szCs w:val="16"/>
        </w:rPr>
      </w:pPr>
    </w:p>
    <w:p w:rsidR="002F010F" w:rsidRPr="00FF72FC" w:rsidRDefault="002F010F" w:rsidP="002F010F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r w:rsidRPr="00FF72FC">
        <w:rPr>
          <w:sz w:val="16"/>
          <w:szCs w:val="16"/>
        </w:rPr>
        <w:fldChar w:fldCharType="begin"/>
      </w:r>
      <w:r w:rsidRPr="00FF72FC">
        <w:rPr>
          <w:sz w:val="16"/>
          <w:szCs w:val="16"/>
        </w:rPr>
        <w:instrText xml:space="preserve"> TOC \o "1-3" \h \z \u </w:instrText>
      </w:r>
      <w:r w:rsidRPr="00FF72FC">
        <w:rPr>
          <w:sz w:val="16"/>
          <w:szCs w:val="16"/>
        </w:rPr>
        <w:fldChar w:fldCharType="separate"/>
      </w:r>
      <w:hyperlink r:id="rId9" w:anchor="_Toc17795355" w:history="1">
        <w:r w:rsidRPr="00FF72FC">
          <w:rPr>
            <w:rStyle w:val="a3"/>
            <w:sz w:val="16"/>
            <w:szCs w:val="16"/>
          </w:rPr>
          <w:t>1. Ներածություն</w:t>
        </w:r>
        <w:r w:rsidRPr="00FF72FC">
          <w:rPr>
            <w:rStyle w:val="a3"/>
            <w:webHidden/>
            <w:sz w:val="16"/>
            <w:szCs w:val="16"/>
          </w:rPr>
          <w:tab/>
        </w:r>
        <w:r w:rsidRPr="00FF72FC">
          <w:rPr>
            <w:rStyle w:val="a3"/>
            <w:webHidden/>
            <w:sz w:val="16"/>
            <w:szCs w:val="16"/>
          </w:rPr>
          <w:fldChar w:fldCharType="begin"/>
        </w:r>
        <w:r w:rsidRPr="00FF72FC">
          <w:rPr>
            <w:rStyle w:val="a3"/>
            <w:webHidden/>
            <w:sz w:val="16"/>
            <w:szCs w:val="16"/>
          </w:rPr>
          <w:instrText xml:space="preserve"> PAGEREF _Toc17795355 \h </w:instrText>
        </w:r>
        <w:r w:rsidRPr="00FF72FC">
          <w:rPr>
            <w:rStyle w:val="a3"/>
            <w:webHidden/>
            <w:sz w:val="16"/>
            <w:szCs w:val="16"/>
          </w:rPr>
        </w:r>
        <w:r w:rsidRPr="00FF72FC">
          <w:rPr>
            <w:rStyle w:val="a3"/>
            <w:webHidden/>
            <w:sz w:val="16"/>
            <w:szCs w:val="16"/>
          </w:rPr>
          <w:fldChar w:fldCharType="separate"/>
        </w:r>
        <w:r w:rsidR="00C05F00">
          <w:rPr>
            <w:rStyle w:val="a3"/>
            <w:webHidden/>
            <w:sz w:val="16"/>
            <w:szCs w:val="16"/>
          </w:rPr>
          <w:t>2</w:t>
        </w:r>
        <w:r w:rsidRPr="00FF72FC">
          <w:rPr>
            <w:rStyle w:val="a3"/>
            <w:webHidden/>
            <w:sz w:val="16"/>
            <w:szCs w:val="16"/>
          </w:rPr>
          <w:fldChar w:fldCharType="end"/>
        </w:r>
      </w:hyperlink>
    </w:p>
    <w:p w:rsidR="002F010F" w:rsidRPr="00FF72FC" w:rsidRDefault="00C05F00" w:rsidP="002F010F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10" w:anchor="_Toc17795356" w:history="1">
        <w:r w:rsidR="002F010F" w:rsidRPr="00FF72FC">
          <w:rPr>
            <w:rStyle w:val="a3"/>
            <w:sz w:val="16"/>
            <w:szCs w:val="16"/>
          </w:rPr>
          <w:t>2. Թառաթումբ բնակավայրի գյուղատնտեսական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նշանակության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հողերի կառուցվածքը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և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սեփականության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ձևերը</w:t>
        </w:r>
        <w:r w:rsidR="002F010F" w:rsidRPr="00FF72FC">
          <w:rPr>
            <w:rStyle w:val="a3"/>
            <w:webHidden/>
            <w:sz w:val="16"/>
            <w:szCs w:val="16"/>
          </w:rPr>
          <w:tab/>
        </w:r>
        <w:r w:rsidR="002F010F" w:rsidRPr="00FF72FC">
          <w:rPr>
            <w:rStyle w:val="a3"/>
            <w:webHidden/>
            <w:sz w:val="16"/>
            <w:szCs w:val="16"/>
          </w:rPr>
          <w:fldChar w:fldCharType="begin"/>
        </w:r>
        <w:r w:rsidR="002F010F" w:rsidRPr="00FF72FC">
          <w:rPr>
            <w:rStyle w:val="a3"/>
            <w:webHidden/>
            <w:sz w:val="16"/>
            <w:szCs w:val="16"/>
          </w:rPr>
          <w:instrText xml:space="preserve"> PAGEREF _Toc17795356 \h </w:instrText>
        </w:r>
        <w:r w:rsidR="002F010F" w:rsidRPr="00FF72FC">
          <w:rPr>
            <w:rStyle w:val="a3"/>
            <w:webHidden/>
            <w:sz w:val="16"/>
            <w:szCs w:val="16"/>
          </w:rPr>
        </w:r>
        <w:r w:rsidR="002F010F" w:rsidRPr="00FF72F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2</w:t>
        </w:r>
        <w:r w:rsidR="002F010F" w:rsidRPr="00FF72FC">
          <w:rPr>
            <w:rStyle w:val="a3"/>
            <w:webHidden/>
            <w:sz w:val="16"/>
            <w:szCs w:val="16"/>
          </w:rPr>
          <w:fldChar w:fldCharType="end"/>
        </w:r>
      </w:hyperlink>
    </w:p>
    <w:p w:rsidR="002F010F" w:rsidRPr="00FF72FC" w:rsidRDefault="00C05F00" w:rsidP="002F010F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11" w:anchor="_Toc17795357" w:history="1">
        <w:r w:rsidR="002F010F" w:rsidRPr="00FF72FC">
          <w:rPr>
            <w:rStyle w:val="a3"/>
            <w:sz w:val="16"/>
            <w:szCs w:val="16"/>
          </w:rPr>
          <w:t>3. Բնակավայրի անասնագլխաքանակն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ըստ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տնտեսությունների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և անասնակերի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պահանջը</w:t>
        </w:r>
        <w:r w:rsidR="002F010F" w:rsidRPr="00FF72FC">
          <w:rPr>
            <w:rStyle w:val="a3"/>
            <w:webHidden/>
            <w:sz w:val="16"/>
            <w:szCs w:val="16"/>
          </w:rPr>
          <w:tab/>
        </w:r>
        <w:r w:rsidR="002F010F" w:rsidRPr="00FF72FC">
          <w:rPr>
            <w:rStyle w:val="a3"/>
            <w:webHidden/>
            <w:sz w:val="16"/>
            <w:szCs w:val="16"/>
          </w:rPr>
          <w:fldChar w:fldCharType="begin"/>
        </w:r>
        <w:r w:rsidR="002F010F" w:rsidRPr="00FF72FC">
          <w:rPr>
            <w:rStyle w:val="a3"/>
            <w:webHidden/>
            <w:sz w:val="16"/>
            <w:szCs w:val="16"/>
          </w:rPr>
          <w:instrText xml:space="preserve"> PAGEREF _Toc17795357 \h </w:instrText>
        </w:r>
        <w:r w:rsidR="002F010F" w:rsidRPr="00FF72FC">
          <w:rPr>
            <w:rStyle w:val="a3"/>
            <w:webHidden/>
            <w:sz w:val="16"/>
            <w:szCs w:val="16"/>
          </w:rPr>
        </w:r>
        <w:r w:rsidR="002F010F" w:rsidRPr="00FF72F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3</w:t>
        </w:r>
        <w:r w:rsidR="002F010F" w:rsidRPr="00FF72FC">
          <w:rPr>
            <w:rStyle w:val="a3"/>
            <w:webHidden/>
            <w:sz w:val="16"/>
            <w:szCs w:val="16"/>
          </w:rPr>
          <w:fldChar w:fldCharType="end"/>
        </w:r>
      </w:hyperlink>
    </w:p>
    <w:p w:rsidR="002F010F" w:rsidRPr="00FF72FC" w:rsidRDefault="00C05F00" w:rsidP="002F010F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12" w:anchor="_Toc17795358" w:history="1">
        <w:r w:rsidR="002F010F" w:rsidRPr="00FF72FC">
          <w:rPr>
            <w:rStyle w:val="a3"/>
            <w:sz w:val="16"/>
            <w:szCs w:val="16"/>
          </w:rPr>
          <w:t>3.1 Անասնակերի պահանջի հաշվարկ</w:t>
        </w:r>
        <w:r w:rsidR="002F010F" w:rsidRPr="00FF72FC">
          <w:rPr>
            <w:rStyle w:val="a3"/>
            <w:webHidden/>
            <w:sz w:val="16"/>
            <w:szCs w:val="16"/>
          </w:rPr>
          <w:tab/>
        </w:r>
        <w:r w:rsidR="002F010F" w:rsidRPr="00FF72FC">
          <w:rPr>
            <w:rStyle w:val="a3"/>
            <w:webHidden/>
            <w:sz w:val="16"/>
            <w:szCs w:val="16"/>
          </w:rPr>
          <w:fldChar w:fldCharType="begin"/>
        </w:r>
        <w:r w:rsidR="002F010F" w:rsidRPr="00FF72FC">
          <w:rPr>
            <w:rStyle w:val="a3"/>
            <w:webHidden/>
            <w:sz w:val="16"/>
            <w:szCs w:val="16"/>
          </w:rPr>
          <w:instrText xml:space="preserve"> PAGEREF _Toc17795358 \h </w:instrText>
        </w:r>
        <w:r w:rsidR="002F010F" w:rsidRPr="00FF72FC">
          <w:rPr>
            <w:rStyle w:val="a3"/>
            <w:webHidden/>
            <w:sz w:val="16"/>
            <w:szCs w:val="16"/>
          </w:rPr>
        </w:r>
        <w:r w:rsidR="002F010F" w:rsidRPr="00FF72F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3</w:t>
        </w:r>
        <w:r w:rsidR="002F010F" w:rsidRPr="00FF72FC">
          <w:rPr>
            <w:rStyle w:val="a3"/>
            <w:webHidden/>
            <w:sz w:val="16"/>
            <w:szCs w:val="16"/>
          </w:rPr>
          <w:fldChar w:fldCharType="end"/>
        </w:r>
      </w:hyperlink>
    </w:p>
    <w:p w:rsidR="002F010F" w:rsidRPr="00FF72FC" w:rsidRDefault="00C05F00" w:rsidP="002F010F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13" w:anchor="_Toc17795359" w:history="1">
        <w:r w:rsidR="002F010F" w:rsidRPr="00FF72FC">
          <w:rPr>
            <w:rStyle w:val="a3"/>
            <w:sz w:val="16"/>
            <w:szCs w:val="16"/>
          </w:rPr>
          <w:t>4. Բնակավայրի ֆիզիկաաշխարհագրական առանձնահատկությունները</w:t>
        </w:r>
        <w:r w:rsidR="002F010F" w:rsidRPr="00FF72FC">
          <w:rPr>
            <w:rStyle w:val="a3"/>
            <w:webHidden/>
            <w:sz w:val="16"/>
            <w:szCs w:val="16"/>
          </w:rPr>
          <w:tab/>
        </w:r>
        <w:r w:rsidR="002F010F" w:rsidRPr="00FF72FC">
          <w:rPr>
            <w:rStyle w:val="a3"/>
            <w:webHidden/>
            <w:sz w:val="16"/>
            <w:szCs w:val="16"/>
          </w:rPr>
          <w:fldChar w:fldCharType="begin"/>
        </w:r>
        <w:r w:rsidR="002F010F" w:rsidRPr="00FF72FC">
          <w:rPr>
            <w:rStyle w:val="a3"/>
            <w:webHidden/>
            <w:sz w:val="16"/>
            <w:szCs w:val="16"/>
          </w:rPr>
          <w:instrText xml:space="preserve"> PAGEREF _Toc17795359 \h </w:instrText>
        </w:r>
        <w:r w:rsidR="002F010F" w:rsidRPr="00FF72FC">
          <w:rPr>
            <w:rStyle w:val="a3"/>
            <w:webHidden/>
            <w:sz w:val="16"/>
            <w:szCs w:val="16"/>
          </w:rPr>
        </w:r>
        <w:r w:rsidR="002F010F" w:rsidRPr="00FF72F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4</w:t>
        </w:r>
        <w:r w:rsidR="002F010F" w:rsidRPr="00FF72FC">
          <w:rPr>
            <w:rStyle w:val="a3"/>
            <w:webHidden/>
            <w:sz w:val="16"/>
            <w:szCs w:val="16"/>
          </w:rPr>
          <w:fldChar w:fldCharType="end"/>
        </w:r>
      </w:hyperlink>
    </w:p>
    <w:p w:rsidR="002F010F" w:rsidRPr="00FF72FC" w:rsidRDefault="00C05F00" w:rsidP="002F010F">
      <w:pPr>
        <w:pStyle w:val="21"/>
        <w:rPr>
          <w:noProof/>
          <w:sz w:val="16"/>
          <w:szCs w:val="16"/>
        </w:rPr>
      </w:pPr>
      <w:hyperlink r:id="rId14" w:anchor="_Toc17795360" w:history="1">
        <w:r w:rsidR="002F010F" w:rsidRPr="00FF72FC">
          <w:rPr>
            <w:rStyle w:val="a3"/>
            <w:rFonts w:ascii="Sylfaen" w:hAnsi="Sylfaen"/>
            <w:noProof/>
            <w:sz w:val="16"/>
            <w:szCs w:val="16"/>
          </w:rPr>
          <w:t xml:space="preserve">4.1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Արոտատեղամասերի էկոլոգիական</w:t>
        </w:r>
        <w:r w:rsidR="002F010F" w:rsidRPr="00FF72F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գնահատում</w:t>
        </w:r>
        <w:r w:rsidR="002F010F" w:rsidRPr="00FF72FC">
          <w:rPr>
            <w:rStyle w:val="a3"/>
            <w:noProof/>
            <w:webHidden/>
            <w:sz w:val="16"/>
            <w:szCs w:val="16"/>
          </w:rPr>
          <w:tab/>
        </w:r>
        <w:r w:rsidR="002F010F" w:rsidRPr="00FF72FC">
          <w:rPr>
            <w:rStyle w:val="a3"/>
            <w:noProof/>
            <w:webHidden/>
            <w:sz w:val="16"/>
            <w:szCs w:val="16"/>
          </w:rPr>
          <w:fldChar w:fldCharType="begin"/>
        </w:r>
        <w:r w:rsidR="002F010F" w:rsidRPr="00FF72FC">
          <w:rPr>
            <w:rStyle w:val="a3"/>
            <w:noProof/>
            <w:webHidden/>
            <w:sz w:val="16"/>
            <w:szCs w:val="16"/>
          </w:rPr>
          <w:instrText xml:space="preserve"> PAGEREF _Toc17795360 \h </w:instrText>
        </w:r>
        <w:r w:rsidR="002F010F" w:rsidRPr="00FF72FC">
          <w:rPr>
            <w:rStyle w:val="a3"/>
            <w:noProof/>
            <w:webHidden/>
            <w:sz w:val="16"/>
            <w:szCs w:val="16"/>
          </w:rPr>
        </w:r>
        <w:r w:rsidR="002F010F" w:rsidRPr="00FF72FC">
          <w:rPr>
            <w:rStyle w:val="a3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noProof/>
            <w:webHidden/>
            <w:sz w:val="16"/>
            <w:szCs w:val="16"/>
          </w:rPr>
          <w:t>5</w:t>
        </w:r>
        <w:r w:rsidR="002F010F" w:rsidRPr="00FF72FC">
          <w:rPr>
            <w:rStyle w:val="a3"/>
            <w:noProof/>
            <w:webHidden/>
            <w:sz w:val="16"/>
            <w:szCs w:val="16"/>
          </w:rPr>
          <w:fldChar w:fldCharType="end"/>
        </w:r>
      </w:hyperlink>
    </w:p>
    <w:p w:rsidR="002F010F" w:rsidRPr="00FF72FC" w:rsidRDefault="00C05F00" w:rsidP="002F010F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15" w:anchor="_Toc17795361" w:history="1">
        <w:r w:rsidR="002F010F" w:rsidRPr="00FF72FC">
          <w:rPr>
            <w:rStyle w:val="a3"/>
            <w:sz w:val="16"/>
            <w:szCs w:val="16"/>
          </w:rPr>
          <w:t>5. Ընթացիկ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կառավարում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ըստ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գոտու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արոտատեղամասերի</w:t>
        </w:r>
        <w:r w:rsidR="002F010F" w:rsidRPr="00FF72FC">
          <w:rPr>
            <w:rStyle w:val="a3"/>
            <w:webHidden/>
            <w:sz w:val="16"/>
            <w:szCs w:val="16"/>
          </w:rPr>
          <w:tab/>
        </w:r>
        <w:r w:rsidR="002F010F" w:rsidRPr="00FF72FC">
          <w:rPr>
            <w:rStyle w:val="a3"/>
            <w:webHidden/>
            <w:sz w:val="16"/>
            <w:szCs w:val="16"/>
          </w:rPr>
          <w:fldChar w:fldCharType="begin"/>
        </w:r>
        <w:r w:rsidR="002F010F" w:rsidRPr="00FF72FC">
          <w:rPr>
            <w:rStyle w:val="a3"/>
            <w:webHidden/>
            <w:sz w:val="16"/>
            <w:szCs w:val="16"/>
          </w:rPr>
          <w:instrText xml:space="preserve"> PAGEREF _Toc17795361 \h </w:instrText>
        </w:r>
        <w:r w:rsidR="002F010F" w:rsidRPr="00FF72FC">
          <w:rPr>
            <w:rStyle w:val="a3"/>
            <w:webHidden/>
            <w:sz w:val="16"/>
            <w:szCs w:val="16"/>
          </w:rPr>
        </w:r>
        <w:r w:rsidR="002F010F" w:rsidRPr="00FF72F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7</w:t>
        </w:r>
        <w:r w:rsidR="002F010F" w:rsidRPr="00FF72FC">
          <w:rPr>
            <w:rStyle w:val="a3"/>
            <w:webHidden/>
            <w:sz w:val="16"/>
            <w:szCs w:val="16"/>
          </w:rPr>
          <w:fldChar w:fldCharType="end"/>
        </w:r>
      </w:hyperlink>
    </w:p>
    <w:p w:rsidR="002F010F" w:rsidRPr="00FF72FC" w:rsidRDefault="00C05F00" w:rsidP="002F010F">
      <w:pPr>
        <w:pStyle w:val="21"/>
        <w:rPr>
          <w:noProof/>
          <w:sz w:val="16"/>
          <w:szCs w:val="16"/>
        </w:rPr>
      </w:pPr>
      <w:hyperlink r:id="rId16" w:anchor="_Toc17795362" w:history="1">
        <w:r w:rsidR="002F010F" w:rsidRPr="00FF72FC">
          <w:rPr>
            <w:rStyle w:val="a3"/>
            <w:rFonts w:ascii="Sylfaen" w:hAnsi="Sylfaen"/>
            <w:noProof/>
            <w:sz w:val="16"/>
            <w:szCs w:val="16"/>
          </w:rPr>
          <w:t xml:space="preserve">5.1.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Բնակավայրի</w:t>
        </w:r>
        <w:r w:rsidR="002F010F" w:rsidRPr="00FF72F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արոտների</w:t>
        </w:r>
        <w:r w:rsidR="002F010F" w:rsidRPr="00FF72F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2F010F" w:rsidRPr="00FF72F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խոտհարքների</w:t>
        </w:r>
        <w:r w:rsidR="002F010F" w:rsidRPr="00FF72F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բուսածածկն</w:t>
        </w:r>
        <w:r w:rsidR="002F010F" w:rsidRPr="00FF72F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ու</w:t>
        </w:r>
        <w:r w:rsidR="002F010F" w:rsidRPr="00FF72F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բերքատվության</w:t>
        </w:r>
        <w:r w:rsidR="002F010F" w:rsidRPr="00FF72F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ցուցանիշները</w:t>
        </w:r>
        <w:r w:rsidR="002F010F" w:rsidRPr="00FF72FC">
          <w:rPr>
            <w:rStyle w:val="a3"/>
            <w:noProof/>
            <w:webHidden/>
            <w:sz w:val="16"/>
            <w:szCs w:val="16"/>
          </w:rPr>
          <w:tab/>
        </w:r>
        <w:r w:rsidR="002F010F" w:rsidRPr="00FF72FC">
          <w:rPr>
            <w:rStyle w:val="a3"/>
            <w:noProof/>
            <w:webHidden/>
            <w:sz w:val="16"/>
            <w:szCs w:val="16"/>
          </w:rPr>
          <w:fldChar w:fldCharType="begin"/>
        </w:r>
        <w:r w:rsidR="002F010F" w:rsidRPr="00FF72FC">
          <w:rPr>
            <w:rStyle w:val="a3"/>
            <w:noProof/>
            <w:webHidden/>
            <w:sz w:val="16"/>
            <w:szCs w:val="16"/>
          </w:rPr>
          <w:instrText xml:space="preserve"> PAGEREF _Toc17795362 \h </w:instrText>
        </w:r>
        <w:r w:rsidR="002F010F" w:rsidRPr="00FF72FC">
          <w:rPr>
            <w:rStyle w:val="a3"/>
            <w:noProof/>
            <w:webHidden/>
            <w:sz w:val="16"/>
            <w:szCs w:val="16"/>
          </w:rPr>
        </w:r>
        <w:r w:rsidR="002F010F" w:rsidRPr="00FF72FC">
          <w:rPr>
            <w:rStyle w:val="a3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noProof/>
            <w:webHidden/>
            <w:sz w:val="16"/>
            <w:szCs w:val="16"/>
          </w:rPr>
          <w:t>7</w:t>
        </w:r>
        <w:r w:rsidR="002F010F" w:rsidRPr="00FF72FC">
          <w:rPr>
            <w:rStyle w:val="a3"/>
            <w:noProof/>
            <w:webHidden/>
            <w:sz w:val="16"/>
            <w:szCs w:val="16"/>
          </w:rPr>
          <w:fldChar w:fldCharType="end"/>
        </w:r>
      </w:hyperlink>
    </w:p>
    <w:p w:rsidR="002F010F" w:rsidRPr="00FF72FC" w:rsidRDefault="00C05F00" w:rsidP="002F010F">
      <w:pPr>
        <w:pStyle w:val="21"/>
        <w:rPr>
          <w:noProof/>
          <w:sz w:val="16"/>
          <w:szCs w:val="16"/>
        </w:rPr>
      </w:pPr>
      <w:hyperlink r:id="rId17" w:anchor="_Toc17795363" w:history="1">
        <w:r w:rsidR="002F010F" w:rsidRPr="00FF72FC">
          <w:rPr>
            <w:rStyle w:val="a3"/>
            <w:rFonts w:ascii="Sylfaen" w:hAnsi="Sylfaen"/>
            <w:noProof/>
            <w:sz w:val="16"/>
            <w:szCs w:val="16"/>
          </w:rPr>
          <w:t xml:space="preserve">5.2.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Արոտավայրերի</w:t>
        </w:r>
        <w:r w:rsidR="002F010F" w:rsidRPr="00FF72F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կառավարման</w:t>
        </w:r>
        <w:r w:rsidR="002F010F" w:rsidRPr="00FF72F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2F010F" w:rsidRPr="00FF72F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անասնապահության</w:t>
        </w:r>
        <w:r w:rsidR="002F010F" w:rsidRPr="00FF72F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զարգացման</w:t>
        </w:r>
        <w:r w:rsidR="002F010F" w:rsidRPr="00FF72F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նախադրյալները</w:t>
        </w:r>
        <w:r w:rsidR="002F010F" w:rsidRPr="00FF72FC">
          <w:rPr>
            <w:rStyle w:val="a3"/>
            <w:noProof/>
            <w:webHidden/>
            <w:sz w:val="16"/>
            <w:szCs w:val="16"/>
          </w:rPr>
          <w:tab/>
        </w:r>
        <w:r w:rsidR="002F010F" w:rsidRPr="00FF72FC">
          <w:rPr>
            <w:rStyle w:val="a3"/>
            <w:noProof/>
            <w:webHidden/>
            <w:sz w:val="16"/>
            <w:szCs w:val="16"/>
          </w:rPr>
          <w:fldChar w:fldCharType="begin"/>
        </w:r>
        <w:r w:rsidR="002F010F" w:rsidRPr="00FF72FC">
          <w:rPr>
            <w:rStyle w:val="a3"/>
            <w:noProof/>
            <w:webHidden/>
            <w:sz w:val="16"/>
            <w:szCs w:val="16"/>
          </w:rPr>
          <w:instrText xml:space="preserve"> PAGEREF _Toc17795363 \h </w:instrText>
        </w:r>
        <w:r w:rsidR="002F010F" w:rsidRPr="00FF72FC">
          <w:rPr>
            <w:rStyle w:val="a3"/>
            <w:noProof/>
            <w:webHidden/>
            <w:sz w:val="16"/>
            <w:szCs w:val="16"/>
          </w:rPr>
        </w:r>
        <w:r w:rsidR="002F010F" w:rsidRPr="00FF72FC">
          <w:rPr>
            <w:rStyle w:val="a3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noProof/>
            <w:webHidden/>
            <w:sz w:val="16"/>
            <w:szCs w:val="16"/>
          </w:rPr>
          <w:t>9</w:t>
        </w:r>
        <w:r w:rsidR="002F010F" w:rsidRPr="00FF72FC">
          <w:rPr>
            <w:rStyle w:val="a3"/>
            <w:noProof/>
            <w:webHidden/>
            <w:sz w:val="16"/>
            <w:szCs w:val="16"/>
          </w:rPr>
          <w:fldChar w:fldCharType="end"/>
        </w:r>
      </w:hyperlink>
    </w:p>
    <w:p w:rsidR="002F010F" w:rsidRPr="00FF72FC" w:rsidRDefault="00C05F00" w:rsidP="002F010F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18" w:anchor="_Toc17795364" w:history="1">
        <w:r w:rsidR="002F010F" w:rsidRPr="00FF72FC">
          <w:rPr>
            <w:rStyle w:val="a3"/>
            <w:sz w:val="16"/>
            <w:szCs w:val="16"/>
          </w:rPr>
          <w:t>6. Չոր կենսազանգվածի կուտակման հնարավորությունն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ըստ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բնակլիմայական գոտիների</w:t>
        </w:r>
        <w:r w:rsidR="002F010F" w:rsidRPr="00FF72FC">
          <w:rPr>
            <w:rStyle w:val="a3"/>
            <w:webHidden/>
            <w:sz w:val="16"/>
            <w:szCs w:val="16"/>
          </w:rPr>
          <w:tab/>
        </w:r>
        <w:r w:rsidR="002F010F" w:rsidRPr="00FF72FC">
          <w:rPr>
            <w:rStyle w:val="a3"/>
            <w:webHidden/>
            <w:sz w:val="16"/>
            <w:szCs w:val="16"/>
          </w:rPr>
          <w:fldChar w:fldCharType="begin"/>
        </w:r>
        <w:r w:rsidR="002F010F" w:rsidRPr="00FF72FC">
          <w:rPr>
            <w:rStyle w:val="a3"/>
            <w:webHidden/>
            <w:sz w:val="16"/>
            <w:szCs w:val="16"/>
          </w:rPr>
          <w:instrText xml:space="preserve"> PAGEREF _Toc17795364 \h </w:instrText>
        </w:r>
        <w:r w:rsidR="002F010F" w:rsidRPr="00FF72FC">
          <w:rPr>
            <w:rStyle w:val="a3"/>
            <w:webHidden/>
            <w:sz w:val="16"/>
            <w:szCs w:val="16"/>
          </w:rPr>
        </w:r>
        <w:r w:rsidR="002F010F" w:rsidRPr="00FF72F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9</w:t>
        </w:r>
        <w:r w:rsidR="002F010F" w:rsidRPr="00FF72FC">
          <w:rPr>
            <w:rStyle w:val="a3"/>
            <w:webHidden/>
            <w:sz w:val="16"/>
            <w:szCs w:val="16"/>
          </w:rPr>
          <w:fldChar w:fldCharType="end"/>
        </w:r>
      </w:hyperlink>
    </w:p>
    <w:p w:rsidR="002F010F" w:rsidRPr="00FF72FC" w:rsidRDefault="00C05F00" w:rsidP="002F010F">
      <w:pPr>
        <w:pStyle w:val="21"/>
        <w:rPr>
          <w:noProof/>
          <w:sz w:val="16"/>
          <w:szCs w:val="16"/>
        </w:rPr>
      </w:pPr>
      <w:hyperlink r:id="rId19" w:anchor="_Toc17795365" w:history="1">
        <w:r w:rsidR="002F010F" w:rsidRPr="00FF72FC">
          <w:rPr>
            <w:rStyle w:val="a3"/>
            <w:rFonts w:ascii="Sylfaen" w:hAnsi="Sylfaen"/>
            <w:noProof/>
            <w:sz w:val="16"/>
            <w:szCs w:val="16"/>
          </w:rPr>
          <w:t xml:space="preserve">6.1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Բնակավայրի</w:t>
        </w:r>
        <w:r w:rsidR="002F010F" w:rsidRPr="00FF72FC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կերահանդակներից</w:t>
        </w:r>
        <w:r w:rsidR="002F010F" w:rsidRPr="00FF72F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2F010F" w:rsidRPr="00FF72FC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այլընտրանքային</w:t>
        </w:r>
        <w:r w:rsidR="002F010F" w:rsidRPr="00FF72FC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կերապահով-մանտարածքներից</w:t>
        </w:r>
        <w:r w:rsidR="002F010F" w:rsidRPr="00FF72FC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ստացվող</w:t>
        </w:r>
        <w:r w:rsidR="002F010F" w:rsidRPr="00FF72FC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չոր</w:t>
        </w:r>
        <w:r w:rsidR="002F010F" w:rsidRPr="00FF72FC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զանգվածի</w:t>
        </w:r>
        <w:r w:rsidR="002F010F" w:rsidRPr="00FF72FC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2F010F" w:rsidRPr="00FF72FC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արածեցման</w:t>
        </w:r>
        <w:r w:rsidR="002F010F" w:rsidRPr="00FF72FC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օրերի</w:t>
        </w:r>
        <w:r w:rsidR="002F010F" w:rsidRPr="00FF72FC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2F010F" w:rsidRPr="00FF72FC">
          <w:rPr>
            <w:rStyle w:val="a3"/>
            <w:rFonts w:ascii="Sylfaen" w:hAnsi="Sylfaen" w:cs="Sylfaen"/>
            <w:noProof/>
            <w:sz w:val="16"/>
            <w:szCs w:val="16"/>
          </w:rPr>
          <w:t>քանակը</w:t>
        </w:r>
        <w:r w:rsidR="002F010F" w:rsidRPr="00FF72FC">
          <w:rPr>
            <w:rStyle w:val="a3"/>
            <w:noProof/>
            <w:webHidden/>
            <w:sz w:val="16"/>
            <w:szCs w:val="16"/>
          </w:rPr>
          <w:tab/>
        </w:r>
        <w:r w:rsidR="002F010F" w:rsidRPr="00FF72FC">
          <w:rPr>
            <w:rStyle w:val="a3"/>
            <w:noProof/>
            <w:webHidden/>
            <w:sz w:val="16"/>
            <w:szCs w:val="16"/>
          </w:rPr>
          <w:fldChar w:fldCharType="begin"/>
        </w:r>
        <w:r w:rsidR="002F010F" w:rsidRPr="00FF72FC">
          <w:rPr>
            <w:rStyle w:val="a3"/>
            <w:noProof/>
            <w:webHidden/>
            <w:sz w:val="16"/>
            <w:szCs w:val="16"/>
          </w:rPr>
          <w:instrText xml:space="preserve"> PAGEREF _Toc17795365 \h </w:instrText>
        </w:r>
        <w:r w:rsidR="002F010F" w:rsidRPr="00FF72FC">
          <w:rPr>
            <w:rStyle w:val="a3"/>
            <w:noProof/>
            <w:webHidden/>
            <w:sz w:val="16"/>
            <w:szCs w:val="16"/>
          </w:rPr>
        </w:r>
        <w:r w:rsidR="002F010F" w:rsidRPr="00FF72FC">
          <w:rPr>
            <w:rStyle w:val="a3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noProof/>
            <w:webHidden/>
            <w:sz w:val="16"/>
            <w:szCs w:val="16"/>
          </w:rPr>
          <w:t>10</w:t>
        </w:r>
        <w:r w:rsidR="002F010F" w:rsidRPr="00FF72FC">
          <w:rPr>
            <w:rStyle w:val="a3"/>
            <w:noProof/>
            <w:webHidden/>
            <w:sz w:val="16"/>
            <w:szCs w:val="16"/>
          </w:rPr>
          <w:fldChar w:fldCharType="end"/>
        </w:r>
      </w:hyperlink>
    </w:p>
    <w:p w:rsidR="002F010F" w:rsidRPr="00FF72FC" w:rsidRDefault="00C05F00" w:rsidP="002F010F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20" w:anchor="_Toc17795366" w:history="1">
        <w:r w:rsidR="002F010F" w:rsidRPr="00FF72FC">
          <w:rPr>
            <w:rStyle w:val="a3"/>
            <w:sz w:val="16"/>
            <w:szCs w:val="16"/>
          </w:rPr>
          <w:t>7. Խոշոր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և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մանր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եղջերավոր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կենդանիների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արածեցման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համակարգ</w:t>
        </w:r>
        <w:r w:rsidR="002F010F" w:rsidRPr="00FF72FC">
          <w:rPr>
            <w:rStyle w:val="a3"/>
            <w:webHidden/>
            <w:sz w:val="16"/>
            <w:szCs w:val="16"/>
          </w:rPr>
          <w:tab/>
        </w:r>
        <w:r w:rsidR="002F010F" w:rsidRPr="00FF72FC">
          <w:rPr>
            <w:rStyle w:val="a3"/>
            <w:webHidden/>
            <w:sz w:val="16"/>
            <w:szCs w:val="16"/>
          </w:rPr>
          <w:fldChar w:fldCharType="begin"/>
        </w:r>
        <w:r w:rsidR="002F010F" w:rsidRPr="00FF72FC">
          <w:rPr>
            <w:rStyle w:val="a3"/>
            <w:webHidden/>
            <w:sz w:val="16"/>
            <w:szCs w:val="16"/>
          </w:rPr>
          <w:instrText xml:space="preserve"> PAGEREF _Toc17795366 \h </w:instrText>
        </w:r>
        <w:r w:rsidR="002F010F" w:rsidRPr="00FF72FC">
          <w:rPr>
            <w:rStyle w:val="a3"/>
            <w:webHidden/>
            <w:sz w:val="16"/>
            <w:szCs w:val="16"/>
          </w:rPr>
        </w:r>
        <w:r w:rsidR="002F010F" w:rsidRPr="00FF72F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11</w:t>
        </w:r>
        <w:r w:rsidR="002F010F" w:rsidRPr="00FF72FC">
          <w:rPr>
            <w:rStyle w:val="a3"/>
            <w:webHidden/>
            <w:sz w:val="16"/>
            <w:szCs w:val="16"/>
          </w:rPr>
          <w:fldChar w:fldCharType="end"/>
        </w:r>
      </w:hyperlink>
    </w:p>
    <w:p w:rsidR="002F010F" w:rsidRPr="00FF72FC" w:rsidRDefault="00C05F00" w:rsidP="002F010F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21" w:anchor="_Toc17795367" w:history="1">
        <w:r w:rsidR="002F010F" w:rsidRPr="00FF72FC">
          <w:rPr>
            <w:rStyle w:val="a3"/>
            <w:sz w:val="16"/>
            <w:szCs w:val="16"/>
          </w:rPr>
          <w:t>8. Մսուրային շրջանում կուտակվող կերեր (խոտի ապահովածությունը)</w:t>
        </w:r>
        <w:r w:rsidR="002F010F" w:rsidRPr="00FF72FC">
          <w:rPr>
            <w:rStyle w:val="a3"/>
            <w:webHidden/>
            <w:sz w:val="16"/>
            <w:szCs w:val="16"/>
          </w:rPr>
          <w:tab/>
        </w:r>
        <w:r w:rsidR="002F010F" w:rsidRPr="00FF72FC">
          <w:rPr>
            <w:rStyle w:val="a3"/>
            <w:webHidden/>
            <w:sz w:val="16"/>
            <w:szCs w:val="16"/>
          </w:rPr>
          <w:fldChar w:fldCharType="begin"/>
        </w:r>
        <w:r w:rsidR="002F010F" w:rsidRPr="00FF72FC">
          <w:rPr>
            <w:rStyle w:val="a3"/>
            <w:webHidden/>
            <w:sz w:val="16"/>
            <w:szCs w:val="16"/>
          </w:rPr>
          <w:instrText xml:space="preserve"> PAGEREF _Toc17795367 \h </w:instrText>
        </w:r>
        <w:r w:rsidR="002F010F" w:rsidRPr="00FF72FC">
          <w:rPr>
            <w:rStyle w:val="a3"/>
            <w:webHidden/>
            <w:sz w:val="16"/>
            <w:szCs w:val="16"/>
          </w:rPr>
        </w:r>
        <w:r w:rsidR="002F010F" w:rsidRPr="00FF72F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14</w:t>
        </w:r>
        <w:r w:rsidR="002F010F" w:rsidRPr="00FF72FC">
          <w:rPr>
            <w:rStyle w:val="a3"/>
            <w:webHidden/>
            <w:sz w:val="16"/>
            <w:szCs w:val="16"/>
          </w:rPr>
          <w:fldChar w:fldCharType="end"/>
        </w:r>
      </w:hyperlink>
    </w:p>
    <w:p w:rsidR="002F010F" w:rsidRPr="00FF72FC" w:rsidRDefault="00C05F00" w:rsidP="002F010F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22" w:anchor="_Toc17795368" w:history="1">
        <w:r w:rsidR="002F010F" w:rsidRPr="00FF72FC">
          <w:rPr>
            <w:rStyle w:val="a3"/>
            <w:sz w:val="16"/>
            <w:szCs w:val="16"/>
          </w:rPr>
          <w:t>9. Թառաթումբ բնակավայրում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արոտատեղամասերի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բաշխվածության</w:t>
        </w:r>
        <w:r w:rsidR="002F010F" w:rsidRPr="00FF72FC">
          <w:rPr>
            <w:rStyle w:val="a3"/>
            <w:rFonts w:cs="Cambria"/>
            <w:sz w:val="16"/>
            <w:szCs w:val="16"/>
          </w:rPr>
          <w:t xml:space="preserve"> </w:t>
        </w:r>
        <w:r w:rsidR="002F010F" w:rsidRPr="00FF72FC">
          <w:rPr>
            <w:rStyle w:val="a3"/>
            <w:sz w:val="16"/>
            <w:szCs w:val="16"/>
          </w:rPr>
          <w:t>քարտեզ</w:t>
        </w:r>
        <w:r w:rsidR="002F010F" w:rsidRPr="00FF72FC">
          <w:rPr>
            <w:rStyle w:val="a3"/>
            <w:webHidden/>
            <w:sz w:val="16"/>
            <w:szCs w:val="16"/>
          </w:rPr>
          <w:tab/>
        </w:r>
        <w:r w:rsidR="002F010F" w:rsidRPr="00FF72FC">
          <w:rPr>
            <w:rStyle w:val="a3"/>
            <w:webHidden/>
            <w:sz w:val="16"/>
            <w:szCs w:val="16"/>
          </w:rPr>
          <w:fldChar w:fldCharType="begin"/>
        </w:r>
        <w:r w:rsidR="002F010F" w:rsidRPr="00FF72FC">
          <w:rPr>
            <w:rStyle w:val="a3"/>
            <w:webHidden/>
            <w:sz w:val="16"/>
            <w:szCs w:val="16"/>
          </w:rPr>
          <w:instrText xml:space="preserve"> PAGEREF _Toc17795368 \h </w:instrText>
        </w:r>
        <w:r w:rsidR="002F010F" w:rsidRPr="00FF72FC">
          <w:rPr>
            <w:rStyle w:val="a3"/>
            <w:webHidden/>
            <w:sz w:val="16"/>
            <w:szCs w:val="16"/>
          </w:rPr>
        </w:r>
        <w:r w:rsidR="002F010F" w:rsidRPr="00FF72F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15</w:t>
        </w:r>
        <w:r w:rsidR="002F010F" w:rsidRPr="00FF72FC">
          <w:rPr>
            <w:rStyle w:val="a3"/>
            <w:webHidden/>
            <w:sz w:val="16"/>
            <w:szCs w:val="16"/>
          </w:rPr>
          <w:fldChar w:fldCharType="end"/>
        </w:r>
      </w:hyperlink>
    </w:p>
    <w:p w:rsidR="002F010F" w:rsidRPr="00FF72FC" w:rsidRDefault="00C05F00" w:rsidP="002F010F">
      <w:pPr>
        <w:pStyle w:val="11"/>
        <w:jc w:val="left"/>
        <w:rPr>
          <w:rFonts w:eastAsia="Times New Roman" w:cs="Times New Roman"/>
          <w:spacing w:val="0"/>
          <w:sz w:val="16"/>
          <w:szCs w:val="16"/>
        </w:rPr>
      </w:pPr>
      <w:hyperlink r:id="rId23" w:anchor="_Toc17795369" w:history="1">
        <w:r w:rsidR="002F010F" w:rsidRPr="00FF72FC">
          <w:rPr>
            <w:rStyle w:val="a3"/>
            <w:sz w:val="16"/>
            <w:szCs w:val="16"/>
          </w:rPr>
          <w:t>10. Թառաթումբ բնակավայրում արոտատեղամասերի բաշխվածության գոտիականության քարտեզ</w:t>
        </w:r>
        <w:r w:rsidR="002F010F" w:rsidRPr="00FF72FC">
          <w:rPr>
            <w:rStyle w:val="a3"/>
            <w:webHidden/>
            <w:sz w:val="16"/>
            <w:szCs w:val="16"/>
          </w:rPr>
          <w:tab/>
        </w:r>
        <w:r w:rsidR="002F010F" w:rsidRPr="00FF72FC">
          <w:rPr>
            <w:rStyle w:val="a3"/>
            <w:webHidden/>
            <w:sz w:val="16"/>
            <w:szCs w:val="16"/>
          </w:rPr>
          <w:fldChar w:fldCharType="begin"/>
        </w:r>
        <w:r w:rsidR="002F010F" w:rsidRPr="00FF72FC">
          <w:rPr>
            <w:rStyle w:val="a3"/>
            <w:webHidden/>
            <w:sz w:val="16"/>
            <w:szCs w:val="16"/>
          </w:rPr>
          <w:instrText xml:space="preserve"> PAGEREF _Toc17795369 \h </w:instrText>
        </w:r>
        <w:r w:rsidR="002F010F" w:rsidRPr="00FF72FC">
          <w:rPr>
            <w:rStyle w:val="a3"/>
            <w:webHidden/>
            <w:sz w:val="16"/>
            <w:szCs w:val="16"/>
          </w:rPr>
        </w:r>
        <w:r w:rsidR="002F010F" w:rsidRPr="00FF72F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16</w:t>
        </w:r>
        <w:r w:rsidR="002F010F" w:rsidRPr="00FF72FC">
          <w:rPr>
            <w:rStyle w:val="a3"/>
            <w:webHidden/>
            <w:sz w:val="16"/>
            <w:szCs w:val="16"/>
          </w:rPr>
          <w:fldChar w:fldCharType="end"/>
        </w:r>
      </w:hyperlink>
    </w:p>
    <w:p w:rsidR="002F010F" w:rsidRPr="00FF72FC" w:rsidRDefault="00C05F00" w:rsidP="002F010F">
      <w:pPr>
        <w:pStyle w:val="11"/>
        <w:jc w:val="left"/>
        <w:rPr>
          <w:rFonts w:ascii="Calibri" w:eastAsia="Times New Roman" w:hAnsi="Calibri" w:cs="Times New Roman"/>
          <w:spacing w:val="0"/>
          <w:sz w:val="16"/>
          <w:szCs w:val="16"/>
        </w:rPr>
      </w:pPr>
      <w:hyperlink r:id="rId24" w:anchor="_Toc17795370" w:history="1">
        <w:r w:rsidR="002F010F" w:rsidRPr="00FF72FC">
          <w:rPr>
            <w:rStyle w:val="a3"/>
            <w:sz w:val="16"/>
            <w:szCs w:val="16"/>
            <w:lang w:val="fr-FR"/>
          </w:rPr>
          <w:t xml:space="preserve">11. </w:t>
        </w:r>
        <w:r w:rsidR="002F010F" w:rsidRPr="00FF72FC">
          <w:rPr>
            <w:rStyle w:val="a3"/>
            <w:sz w:val="16"/>
            <w:szCs w:val="16"/>
          </w:rPr>
          <w:t>Թառաթումբ</w:t>
        </w:r>
        <w:r w:rsidR="002F010F" w:rsidRPr="00FF72FC">
          <w:rPr>
            <w:rStyle w:val="a3"/>
            <w:sz w:val="16"/>
            <w:szCs w:val="16"/>
            <w:lang w:val="fr-FR"/>
          </w:rPr>
          <w:t xml:space="preserve"> բնակավայրում</w:t>
        </w:r>
        <w:r w:rsidR="002F010F" w:rsidRPr="00FF72FC">
          <w:rPr>
            <w:rStyle w:val="a3"/>
            <w:rFonts w:cs="Cambria"/>
            <w:sz w:val="16"/>
            <w:szCs w:val="16"/>
            <w:lang w:val="fr-FR"/>
          </w:rPr>
          <w:t xml:space="preserve"> </w:t>
        </w:r>
        <w:r w:rsidR="002F010F" w:rsidRPr="00FF72FC">
          <w:rPr>
            <w:rStyle w:val="a3"/>
            <w:sz w:val="16"/>
            <w:szCs w:val="16"/>
            <w:lang w:val="fr-FR"/>
          </w:rPr>
          <w:t>արոտատեղամասերի</w:t>
        </w:r>
        <w:r w:rsidR="002F010F" w:rsidRPr="00FF72FC">
          <w:rPr>
            <w:rStyle w:val="a3"/>
            <w:rFonts w:cs="Cambria"/>
            <w:sz w:val="16"/>
            <w:szCs w:val="16"/>
            <w:lang w:val="fr-FR"/>
          </w:rPr>
          <w:t xml:space="preserve"> </w:t>
        </w:r>
        <w:r w:rsidR="002F010F" w:rsidRPr="00FF72FC">
          <w:rPr>
            <w:rStyle w:val="a3"/>
            <w:sz w:val="16"/>
            <w:szCs w:val="16"/>
            <w:lang w:val="fr-FR"/>
          </w:rPr>
          <w:t>արածեցման գրաֆիկ</w:t>
        </w:r>
        <w:r w:rsidR="002F010F" w:rsidRPr="00FF72FC">
          <w:rPr>
            <w:rStyle w:val="a3"/>
            <w:webHidden/>
            <w:sz w:val="16"/>
            <w:szCs w:val="16"/>
          </w:rPr>
          <w:tab/>
        </w:r>
        <w:r w:rsidR="002F010F" w:rsidRPr="00FF72FC">
          <w:rPr>
            <w:rStyle w:val="a3"/>
            <w:webHidden/>
            <w:sz w:val="16"/>
            <w:szCs w:val="16"/>
          </w:rPr>
          <w:fldChar w:fldCharType="begin"/>
        </w:r>
        <w:r w:rsidR="002F010F" w:rsidRPr="00FF72FC">
          <w:rPr>
            <w:rStyle w:val="a3"/>
            <w:webHidden/>
            <w:sz w:val="16"/>
            <w:szCs w:val="16"/>
          </w:rPr>
          <w:instrText xml:space="preserve"> PAGEREF _Toc17795370 \h </w:instrText>
        </w:r>
        <w:r w:rsidR="002F010F" w:rsidRPr="00FF72FC">
          <w:rPr>
            <w:rStyle w:val="a3"/>
            <w:webHidden/>
            <w:sz w:val="16"/>
            <w:szCs w:val="16"/>
          </w:rPr>
        </w:r>
        <w:r w:rsidR="002F010F" w:rsidRPr="00FF72F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17</w:t>
        </w:r>
        <w:r w:rsidR="002F010F" w:rsidRPr="00FF72FC">
          <w:rPr>
            <w:rStyle w:val="a3"/>
            <w:webHidden/>
            <w:sz w:val="16"/>
            <w:szCs w:val="16"/>
          </w:rPr>
          <w:fldChar w:fldCharType="end"/>
        </w:r>
      </w:hyperlink>
    </w:p>
    <w:p w:rsidR="002F010F" w:rsidRPr="00FF72FC" w:rsidRDefault="002F010F" w:rsidP="002F010F">
      <w:pPr>
        <w:spacing w:line="360" w:lineRule="auto"/>
        <w:rPr>
          <w:rFonts w:ascii="Sylfaen" w:hAnsi="Sylfaen"/>
          <w:color w:val="auto"/>
          <w:sz w:val="16"/>
          <w:szCs w:val="16"/>
        </w:rPr>
      </w:pPr>
      <w:r w:rsidRPr="00FF72FC">
        <w:rPr>
          <w:rFonts w:ascii="Sylfaen" w:hAnsi="Sylfaen"/>
          <w:color w:val="auto"/>
          <w:sz w:val="16"/>
          <w:szCs w:val="16"/>
        </w:rPr>
        <w:fldChar w:fldCharType="end"/>
      </w:r>
    </w:p>
    <w:p w:rsidR="002F010F" w:rsidRPr="00FF72FC" w:rsidRDefault="002F010F" w:rsidP="002F010F">
      <w:pPr>
        <w:spacing w:line="360" w:lineRule="auto"/>
        <w:rPr>
          <w:rFonts w:ascii="Sylfaen" w:hAnsi="Sylfaen"/>
          <w:color w:val="auto"/>
          <w:sz w:val="16"/>
          <w:szCs w:val="16"/>
        </w:rPr>
        <w:sectPr w:rsidR="002F010F" w:rsidRPr="00FF72FC">
          <w:pgSz w:w="11907" w:h="16840"/>
          <w:pgMar w:top="1134" w:right="709" w:bottom="567" w:left="1530" w:header="709" w:footer="843" w:gutter="0"/>
          <w:pgNumType w:start="1" w:chapStyle="1"/>
          <w:cols w:space="720"/>
        </w:sectPr>
      </w:pPr>
    </w:p>
    <w:p w:rsidR="002F010F" w:rsidRPr="00FF72FC" w:rsidRDefault="002F010F" w:rsidP="002F010F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0" w:name="_Toc17795355"/>
      <w:bookmarkStart w:id="1" w:name="_Toc524700596"/>
      <w:r w:rsidRPr="00FF72FC">
        <w:rPr>
          <w:rFonts w:ascii="Sylfaen" w:hAnsi="Sylfaen" w:cs="Sylfaen"/>
          <w:sz w:val="16"/>
          <w:szCs w:val="16"/>
        </w:rPr>
        <w:lastRenderedPageBreak/>
        <w:t>1. Ներածություն</w:t>
      </w:r>
      <w:bookmarkEnd w:id="0"/>
      <w:bookmarkEnd w:id="1"/>
    </w:p>
    <w:p w:rsidR="002F010F" w:rsidRPr="00FF72FC" w:rsidRDefault="002F010F" w:rsidP="002F010F">
      <w:pPr>
        <w:spacing w:line="360" w:lineRule="auto"/>
        <w:jc w:val="both"/>
        <w:rPr>
          <w:rFonts w:ascii="Sylfaen" w:hAnsi="Sylfaen"/>
          <w:b/>
          <w:color w:val="FF000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 w:cs="Sylfaen"/>
          <w:color w:val="auto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Թառաթումբ բնակավայրը ունի 530 բնակիչ և 144 տնային տնտեսություն: Բնակավայրը գտնվում է ՀՀ Վայոց Ձոր մարզի Եղեգնաձորի տարածաշրջանի Թառաթումբ բնակավայրում: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հիմնական զբաղվածությունը անասնապահությունն ու դաշտավարությունն են: Դաշտավարության ոլորտում հիմնականում մշակվում է հացահատիկ, բազմամյա խոտ և կարտոֆիլ: Անասնապահության ոլորտում տնտեսություն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ները առավելապես մասնագիտացված են կաթնային և կաթնամսային տավարաբուծությամբ, որոշ տնտեսություններ` զբաղված են նաև ոչխարաբուծությամբ: Համաձայն բնակավայրի վարչական մարմնի տրամադրած տեղեկատվության (</w:t>
      </w:r>
      <w:r w:rsidRPr="00FF72FC">
        <w:rPr>
          <w:rFonts w:ascii="Sylfaen" w:hAnsi="Sylfaen" w:cs="Sylfaen"/>
          <w:bCs w:val="0"/>
          <w:color w:val="auto"/>
          <w:spacing w:val="0"/>
          <w:sz w:val="16"/>
          <w:szCs w:val="16"/>
        </w:rPr>
        <w:t>Տեղեկանք անասնագլխաքանակի և սեռահասակային կազմի վերաբերյալ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), առ 08.02.19թ. բնակավայրում հաշվառված է 326 գլուխ տարբեր սեռահասակային խմբերի խոշոր եղջերավոր, 37 գլուխ մանր եղջերավոր (ոչխար, այծեր, ուլեր և գառներ) և 3 գլուխ ձիեր: Թառաթումբ բնակավայրում 2018 թ. արտադրվել է մոտ 12000 կգ տավարի և 325 կգ ոչխարի միս, (տվյալները հիմնավորվում են նախորդ և ընթացիկ տարիների ընթացքում համայնքապետարանի կողմից բնակավայրում ըստ տեսակային կազմերի հաշվառված անասնագլխի քանակային ցուցանիշի փոփոխությամբ, պայմանավորված իրացված անասնագլխով):</w:t>
      </w:r>
      <w:r w:rsidRPr="00FF72F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խոշոր եղջերավորի (կովերի) պահվացքով զբաղվող տնտեսություններից 10%-ի (12 տնտեսություն) հետ հարցումներով պարզվել է, որ մեկ կովի տարեկան միջին կաթնատվությունը կազմում է միջինը 1800 լիտր, համաձայն այս ցուցանիշի, համայնքում արտադրվել է շուրջ 203400 (113 կով x 1800 լիտր) լիտր կաթ:</w:t>
      </w:r>
      <w:r w:rsidRPr="00FF72F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 անասնաբուծական արտադրանքի որոշ մասը սպառվում է բնակավայրում, իսկ մեծ մասը մթերվում է տարածաշրջանում գործող վերամշակող կազմակերպությունների կողմից:</w:t>
      </w:r>
      <w:r w:rsidRPr="00FF72F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անասնապահական մթերքների արտադրու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թյան արտադրական ներուժը ներկայում ցածր է: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խնդիրները, բարձրացնելով կովերի միջին կաթ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նատ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վությունը` մինչև 15-20%-ով, իսկ արտադրվող մսի քանակությունը շուրջ 12-15%-ով: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Վերջին տարիների ընթացքում ՀՀ-ում տարբեր միջազգային և տեղական կազմակերպությունների կողմից իրականացվող գյուղատնտեսական ծրագրերով մեծ ուշադրություն է դարձվում գյուղական բնակավայրերում առկա բազմաթիվ խնդիրներին, այդ թվում նաև անասնապահության ոլորտի զարգացմանը, որի վկայությունն է ՌԶԳ ՀԿ-ի կողմից իրականացվող «Անասնապահության զարգացում Հայաստանի հարավում» ծրագրի սահմաններում բնական կերահանդակների կայուն կառավարման ու բարելավմանն ուղղված ծրագրային աշխատանքները: Իրականացվող ծրագրի շրջանակում մշակված և առաջարկվող արոտների կայուն կառավարման համակարգի ներդնումն անհրաժեշտ ենթակառուցվածքների ստեղծումով, նպաստելու է արոտային տարածքների արդյունավետ օգտագործմանը, դեգրադացման և հողի էրոզացման ռիսկերի կրճատմանը, վատթարացած արոտավայրերի բուսածածկի վերականգնմանը, նպաստելով արոտային շրջանի կերապահովման խնդրի լուծմամբ անասնաբուծության ոլորտի զարգացման, և անասնապահական մթերքների արտադրության ծավալների ավելացմամբ ֆերմերային տնտեսությունների եկամուտների բարձրացմանը:</w:t>
      </w:r>
    </w:p>
    <w:p w:rsidR="002F010F" w:rsidRPr="00FF72FC" w:rsidRDefault="002F010F" w:rsidP="002F010F">
      <w:pPr>
        <w:pStyle w:val="1"/>
        <w:spacing w:before="0" w:after="0" w:line="360" w:lineRule="auto"/>
        <w:ind w:firstLine="567"/>
        <w:rPr>
          <w:rFonts w:ascii="Sylfaen" w:hAnsi="Sylfaen" w:cs="Sylfaen"/>
          <w:color w:val="FF0000"/>
          <w:sz w:val="16"/>
          <w:szCs w:val="16"/>
        </w:rPr>
      </w:pPr>
      <w:bookmarkStart w:id="2" w:name="_Toc402354605"/>
    </w:p>
    <w:p w:rsidR="002F010F" w:rsidRPr="00FF72FC" w:rsidRDefault="002F010F" w:rsidP="002F010F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3" w:name="_Toc17795356"/>
      <w:bookmarkStart w:id="4" w:name="_Toc524700597"/>
      <w:r w:rsidRPr="00FF72FC">
        <w:rPr>
          <w:rFonts w:ascii="Sylfaen" w:hAnsi="Sylfaen"/>
          <w:sz w:val="16"/>
          <w:szCs w:val="16"/>
        </w:rPr>
        <w:t xml:space="preserve">2. </w:t>
      </w:r>
      <w:r w:rsidRPr="00FF72FC">
        <w:rPr>
          <w:rFonts w:ascii="Sylfaen" w:hAnsi="Sylfaen" w:cs="Sylfaen"/>
          <w:sz w:val="16"/>
          <w:szCs w:val="16"/>
        </w:rPr>
        <w:t>Թառաթումբ բնակավայրի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գյուղատնտեսական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նշանակության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հողերի կառուցվածքը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և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սեփականության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ձևերը</w:t>
      </w:r>
      <w:bookmarkEnd w:id="2"/>
      <w:bookmarkEnd w:id="3"/>
      <w:bookmarkEnd w:id="4"/>
    </w:p>
    <w:p w:rsidR="002F010F" w:rsidRPr="00FF72FC" w:rsidRDefault="002F010F" w:rsidP="002F010F">
      <w:pPr>
        <w:spacing w:line="360" w:lineRule="auto"/>
        <w:rPr>
          <w:rFonts w:ascii="Sylfaen" w:hAnsi="Sylfaen"/>
          <w:color w:val="FF000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Ըստ Թառաթումբ բնակավայրի հողային ֆոնդի առկայության և բաշխման մասին հաշվետվության (ձև 22), բնակավայրի վարչական տարածքը զբաղեցնում է շուրջ 2072.90 հա, որտեղ ըստ նպատակային նշանակության գյուղատնտեսական հողատեսքերը, ներառյալ տնամերձ հողերը, կազմում են </w:t>
      </w:r>
      <w:r w:rsidRPr="00FF72FC">
        <w:rPr>
          <w:rFonts w:ascii="Sylfaen" w:hAnsi="Sylfaen"/>
          <w:color w:val="auto"/>
          <w:sz w:val="16"/>
          <w:szCs w:val="16"/>
        </w:rPr>
        <w:t>1984.70+61.27=2045.97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հա (աղյուսակ 1): Գյուղատնտեսական նշանակության հողատեսքերի միայն 46.74%-ն հանդիսանում է պետական սեփականություն, իսկ 53.26 %-ը համայնքային և համայնքի բնակիչների մասնավոր սեփականությունն է: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Ըստ գործառնական նշանակության գյուղատնտեսական հողատեսքերի 55.2%-ը կազմում են բնական արոտները, որի շուրջ 67.5%-ը պետական սեփականություն է: </w:t>
      </w:r>
    </w:p>
    <w:p w:rsidR="002F010F" w:rsidRPr="00FF72FC" w:rsidRDefault="002F010F" w:rsidP="002F010F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 </w:t>
      </w:r>
    </w:p>
    <w:p w:rsidR="002F010F" w:rsidRPr="00FF72FC" w:rsidRDefault="002F010F" w:rsidP="002F010F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Հողերի սեփականության կառուցվածքը Թառաթումբ բնակավայրում</w:t>
      </w:r>
    </w:p>
    <w:tbl>
      <w:tblPr>
        <w:tblW w:w="9147" w:type="dxa"/>
        <w:jc w:val="center"/>
        <w:tblInd w:w="1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1088"/>
        <w:gridCol w:w="1140"/>
        <w:gridCol w:w="1683"/>
        <w:gridCol w:w="1604"/>
        <w:gridCol w:w="1357"/>
      </w:tblGrid>
      <w:tr w:rsidR="002F010F" w:rsidRPr="00FF72FC" w:rsidTr="002F010F">
        <w:trPr>
          <w:trHeight w:val="64"/>
          <w:jc w:val="center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Գյուղատնտեսական հողատեսքեր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Տարածք (հա)</w:t>
            </w:r>
          </w:p>
        </w:tc>
        <w:tc>
          <w:tcPr>
            <w:tcW w:w="5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Բաշխումը ըստ սեփականության ձևի</w:t>
            </w:r>
          </w:p>
        </w:tc>
      </w:tr>
      <w:tr w:rsidR="002F010F" w:rsidRPr="00FF72FC" w:rsidTr="002F010F">
        <w:trPr>
          <w:trHeight w:val="1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մասնավոր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ՀՀ իրավ. անձանց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համայնքային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պետական</w:t>
            </w:r>
          </w:p>
        </w:tc>
      </w:tr>
      <w:tr w:rsidR="002F010F" w:rsidRPr="00FF72FC" w:rsidTr="002F010F">
        <w:trPr>
          <w:trHeight w:val="6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Վարելահողեր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60.67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12.81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47.30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0.56</w:t>
            </w:r>
          </w:p>
        </w:tc>
      </w:tr>
      <w:tr w:rsidR="002F010F" w:rsidRPr="00FF72FC" w:rsidTr="002F010F">
        <w:trPr>
          <w:trHeight w:val="6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Բազմամյա տնկարք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2F010F" w:rsidRPr="00FF72FC" w:rsidTr="002F010F">
        <w:trPr>
          <w:trHeight w:val="6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Խոտհարք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145.98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48.51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16.04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81.43</w:t>
            </w:r>
          </w:p>
        </w:tc>
      </w:tr>
      <w:tr w:rsidR="002F010F" w:rsidRPr="00FF72FC" w:rsidTr="002F010F">
        <w:trPr>
          <w:trHeight w:val="6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Արոտավայրեր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1097.27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356.05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741.22</w:t>
            </w:r>
          </w:p>
        </w:tc>
      </w:tr>
      <w:tr w:rsidR="002F010F" w:rsidRPr="00FF72FC" w:rsidTr="002F010F">
        <w:trPr>
          <w:trHeight w:val="2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որից` գյուղամերձ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356.05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356.05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2F010F" w:rsidRPr="00FF72FC" w:rsidTr="002F010F">
        <w:trPr>
          <w:trHeight w:val="6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հեռագնա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741.22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741.22</w:t>
            </w:r>
          </w:p>
        </w:tc>
      </w:tr>
      <w:tr w:rsidR="002F010F" w:rsidRPr="00FF72FC" w:rsidTr="002F010F">
        <w:trPr>
          <w:trHeight w:val="6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Այլ հողատեսքեր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680.78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576.29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104.49</w:t>
            </w:r>
          </w:p>
        </w:tc>
      </w:tr>
      <w:tr w:rsidR="002F010F" w:rsidRPr="00FF72FC" w:rsidTr="002F010F">
        <w:trPr>
          <w:trHeight w:val="6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1984.70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61.32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995.68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927.70</w:t>
            </w:r>
          </w:p>
        </w:tc>
      </w:tr>
    </w:tbl>
    <w:p w:rsidR="002F010F" w:rsidRPr="00FF72FC" w:rsidRDefault="002F010F" w:rsidP="002F010F">
      <w:pPr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5" w:name="_Toc402354606"/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Այսպիսով, Թառաթումբ բնակավայրում առկա են 1097.27 հա արոտային տարածքներ, իսկ խոշոր և մանր եղջերավոր անասունների քանակը, ինչպես ցույց կտրվի հետագայում (աղյուսակ 11), կազմում է 208 պայմանական գլուխ (ՊԳ), այսինքն 1 ՊԳ-ին համայնքում առկա է շուրջ 5.2 հա արոտային տարածք, ինչը կրկնակի և ավել անգամ ավելի բարձր ցուցանիշ է համեմատած «Արոտների և խոտհարքների օգտագործման կարգի» վերաբերյալ ՀՀ Կառավարության 2011թ. № 389-ն որոշմամբ նախատեսված նորմատիվը: Բնակավայրում հաշվառված անասնագլխի արոտային կերապահովման համար, անհրաժեշտ պայման է համարվում առկա արոտավայրերի կայուն կառվարման կարգերի գործարկումը: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pStyle w:val="1"/>
        <w:spacing w:before="0" w:after="0"/>
        <w:jc w:val="center"/>
        <w:rPr>
          <w:rFonts w:ascii="Sylfaen" w:hAnsi="Sylfaen" w:cs="Sylfaen"/>
          <w:sz w:val="16"/>
          <w:szCs w:val="16"/>
        </w:rPr>
      </w:pPr>
      <w:bookmarkStart w:id="6" w:name="_Toc17795357"/>
      <w:bookmarkStart w:id="7" w:name="_Toc524700598"/>
      <w:r w:rsidRPr="00FF72FC">
        <w:rPr>
          <w:rFonts w:ascii="Sylfaen" w:hAnsi="Sylfaen"/>
          <w:sz w:val="16"/>
          <w:szCs w:val="16"/>
        </w:rPr>
        <w:t xml:space="preserve">3. </w:t>
      </w:r>
      <w:r w:rsidRPr="00FF72FC">
        <w:rPr>
          <w:rFonts w:ascii="Sylfaen" w:hAnsi="Sylfaen" w:cs="Sylfaen"/>
          <w:sz w:val="16"/>
          <w:szCs w:val="16"/>
        </w:rPr>
        <w:t>Բնակավայրի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անասնագլխաքանակն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ըստ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տնտեսությունների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և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անասնակերի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պահանջը</w:t>
      </w:r>
      <w:bookmarkEnd w:id="5"/>
      <w:bookmarkEnd w:id="6"/>
      <w:bookmarkEnd w:id="7"/>
    </w:p>
    <w:p w:rsidR="002F010F" w:rsidRPr="00FF72FC" w:rsidRDefault="002F010F" w:rsidP="002F010F">
      <w:pPr>
        <w:rPr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Ինչպես Հայաստանի հանրապետության բոլոր բնակավայրերում, Թառաթումբ բնակավայրում նույնպես հիմնականում բուծվում է խոշոր եղջերավորի (ԽԵԿ) Կովկասյան գորշ ցեղատեսակը, որը դիմացկուն է լեռնային պայմաններում և հավասարապես բուծվում է ինչպես կաթարտադրության, այնպես էլ մսարտադրության ուղղություններով, կան նաև Կովկասյան գորշի խառնածիններ, առանձին դեպքերում Շվիցի հետնորդներ: Կենդանիներն ապահովում են բնակավայրի տնտեսությունների, ինչպես նաև քաղաքային բնակչության մասնակի պահանջարկը կաթնամթերքի և մսամթերքի նկատմամբ: Ըստ համայնքապետարանի տեղեկատվության, բնակավայրում շուրջ 120 տնտեսություններ զբաղված են խոշոր եղջերավոր անասունների (ԽԵԿ) պահվածքով, 6 տնտեսություններ նաև մանր եղջերավոր անասունների (ՄԵԿ), մասնավորապես բալբաս և կիսակոպտաբուրդ ցեղատեսակներին պատկանող ոչխարների պահվածքով, 6 տնտեսություններ զբաղվում են նաև խոզաբուծությամբ: Այսպիսով, բնակավայրում առկա է 326 գլուխ ԽԵԿ և 37 գլուխ ՄԵԿ` ոչխար, այծեր և գառներ, որոնք կերակրվում են բնակավայրի վարչական տարածքում առկա արոտավայրերից և այլընտրանքային կերապահովման տարածքներից ստացվող կանաչ զանգվածով և չոր խոտով: Աղյուսակ 2-ում բերված է բնակավայրում հաշվառված անասնագլխաքանակի բաշխվածությունն ըստ տնային տնտեսությունների, որը ցույց է տալիս, որ տնտեսությունների գերակշիռ մեծամասնությունը ունեն 1-5 գլուխ ԽԵԿ:</w:t>
      </w:r>
      <w:r w:rsidRPr="00FF72F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2F010F" w:rsidRPr="00FF72FC" w:rsidRDefault="002F010F" w:rsidP="002F010F">
      <w:pPr>
        <w:spacing w:line="360" w:lineRule="auto"/>
        <w:ind w:firstLine="720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Տարբեր տարիներին բնակավայրում հաշվառված անասնագլխի տվյալների ուսումնասիրումով պարզվել է, որ վերջին տարիների ընթացքում որոշ տնային տնտեսութուններում տեղի է ունենում ԽԵԿ-ի և ՄԵԿ-ի գլխաքանակի աստիճանական ավելացում: Բնակավայրում 6-10 գլուխ ԽԵԿ ունեն համապատասխանաբար տնտեսությունների 12.5%-ը (աղ. 2):</w:t>
      </w:r>
      <w:r w:rsidRPr="00FF72F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2F010F" w:rsidRPr="00FF72FC" w:rsidRDefault="002F010F" w:rsidP="002F010F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Մեր հարցազրույցներից պարզվել է, որ մսուրային շրջանին անհրաժեշտ որակյալ կերի կայուն բազայի ստեղծման հիմնական խոչընդոտների հաղթահարումից հետո` անմշակ վարելահողերի մշակությամբ դաշտային կերարտադրության զարգացումը, ինչպես նաև արոտային շրջանի կերապահովման համար բնական արոտների կայուն կառավարման կարգի ներդրմամբ և արդյունավետ օգտագործման անհրաժեշտ ենթակառուցվածքների (ջրելատեղ, մակատեղ) ստեղծումով արոտների օգտագործման հնարավորությունների և հասանելիության մեծացումը, էականորեն նպաստելու են բնակավայրում անասնապահության ոլորտի հետագա զարգացման, և անասնապահությամբ զբաղվող տնտեսությունների քանակի ու եկամուտների ավելացմանը:</w:t>
      </w:r>
    </w:p>
    <w:p w:rsidR="002F010F" w:rsidRPr="00FF72FC" w:rsidRDefault="002F010F" w:rsidP="002F010F">
      <w:pPr>
        <w:spacing w:line="360" w:lineRule="auto"/>
        <w:jc w:val="right"/>
        <w:rPr>
          <w:rFonts w:ascii="Sylfaen" w:hAnsi="Sylfaen"/>
          <w:color w:val="auto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2 </w:t>
      </w:r>
    </w:p>
    <w:p w:rsidR="002F010F" w:rsidRPr="00FF72FC" w:rsidRDefault="002F010F" w:rsidP="002F010F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Անասունների գլխաքանակն ըստ տնային տնտեսությունների</w:t>
      </w:r>
    </w:p>
    <w:p w:rsidR="002F010F" w:rsidRPr="00FF72FC" w:rsidRDefault="002F010F" w:rsidP="002F010F">
      <w:pPr>
        <w:pStyle w:val="1"/>
        <w:spacing w:before="0" w:after="0" w:line="360" w:lineRule="auto"/>
        <w:rPr>
          <w:rFonts w:ascii="Sylfaen" w:hAnsi="Sylfaen" w:cs="Sylfaen"/>
          <w:color w:val="FF0000"/>
          <w:sz w:val="16"/>
          <w:szCs w:val="16"/>
        </w:rPr>
      </w:pPr>
      <w:bookmarkStart w:id="8" w:name="_Toc402354607"/>
      <w:r w:rsidRPr="00FF72FC">
        <w:rPr>
          <w:rFonts w:ascii="Sylfaen" w:hAnsi="Sylfaen" w:cs="Sylfaen"/>
          <w:color w:val="FF0000"/>
          <w:sz w:val="16"/>
          <w:szCs w:val="16"/>
        </w:rPr>
        <w:t xml:space="preserve"> </w:t>
      </w:r>
    </w:p>
    <w:tbl>
      <w:tblPr>
        <w:tblW w:w="9210" w:type="dxa"/>
        <w:jc w:val="center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1523"/>
        <w:gridCol w:w="1689"/>
        <w:gridCol w:w="1538"/>
        <w:gridCol w:w="1532"/>
        <w:gridCol w:w="1528"/>
      </w:tblGrid>
      <w:tr w:rsidR="002F010F" w:rsidRPr="00FF72FC" w:rsidTr="002F010F">
        <w:trPr>
          <w:trHeight w:val="1242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 քանակը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ՄԵԿ քանակը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Խոզերի քանակը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</w:tr>
      <w:tr w:rsidR="002F010F" w:rsidRPr="00FF72FC" w:rsidTr="002F010F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</w:t>
            </w:r>
          </w:p>
        </w:tc>
      </w:tr>
      <w:tr w:rsidR="002F010F" w:rsidRPr="00FF72FC" w:rsidTr="002F010F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</w:t>
            </w:r>
          </w:p>
        </w:tc>
      </w:tr>
      <w:tr w:rsidR="002F010F" w:rsidRPr="00FF72FC" w:rsidTr="002F010F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</w:tr>
      <w:tr w:rsidR="002F010F" w:rsidRPr="00FF72FC" w:rsidTr="002F010F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 և ավելի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 և ավելի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31և ավելի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</w:tr>
      <w:tr w:rsidR="002F010F" w:rsidRPr="00FF72FC" w:rsidTr="002F010F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</w:t>
            </w:r>
          </w:p>
        </w:tc>
      </w:tr>
    </w:tbl>
    <w:p w:rsidR="002F010F" w:rsidRPr="00FF72FC" w:rsidRDefault="002F010F" w:rsidP="002F010F">
      <w:pPr>
        <w:pStyle w:val="1"/>
        <w:spacing w:before="0" w:after="0" w:line="360" w:lineRule="auto"/>
        <w:rPr>
          <w:rFonts w:ascii="Sylfaen" w:hAnsi="Sylfaen" w:cs="Sylfaen"/>
          <w:color w:val="FF0000"/>
          <w:sz w:val="16"/>
          <w:szCs w:val="16"/>
        </w:rPr>
      </w:pPr>
      <w:r w:rsidRPr="00FF72FC">
        <w:rPr>
          <w:rFonts w:ascii="Sylfaen" w:hAnsi="Sylfaen" w:cs="Sylfaen"/>
          <w:color w:val="FF0000"/>
          <w:sz w:val="16"/>
          <w:szCs w:val="16"/>
        </w:rPr>
        <w:t xml:space="preserve">                 </w:t>
      </w:r>
    </w:p>
    <w:p w:rsidR="002F010F" w:rsidRPr="00FF72FC" w:rsidRDefault="002F010F" w:rsidP="002F010F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9" w:name="_Toc17795358"/>
      <w:bookmarkStart w:id="10" w:name="_Toc524700599"/>
      <w:r w:rsidRPr="00FF72FC">
        <w:rPr>
          <w:rFonts w:ascii="Sylfaen" w:hAnsi="Sylfaen"/>
          <w:sz w:val="16"/>
          <w:szCs w:val="16"/>
        </w:rPr>
        <w:t xml:space="preserve">3.1 </w:t>
      </w:r>
      <w:r w:rsidRPr="00FF72FC">
        <w:rPr>
          <w:rFonts w:ascii="Sylfaen" w:hAnsi="Sylfaen" w:cs="Sylfaen"/>
          <w:sz w:val="16"/>
          <w:szCs w:val="16"/>
        </w:rPr>
        <w:t>Անասնակերի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պահանջի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հաշվարկ</w:t>
      </w:r>
      <w:bookmarkEnd w:id="8"/>
      <w:bookmarkEnd w:id="9"/>
      <w:bookmarkEnd w:id="10"/>
    </w:p>
    <w:p w:rsidR="002F010F" w:rsidRPr="00FF72FC" w:rsidRDefault="002F010F" w:rsidP="002F010F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Համաձայն կերի պահանջի հաշվարկման համար ընդունված անասնաբուծական չափորոշիչների, խոշոր և մանր եղջերավոր անասունները օրական պահանջում են իրենց մարմնի կշռի շուրջ 2.5%-ի չափով չոր բուսազանգված (ՉԶ): Կերի պահանջը հաշվարկվում են հիմնվելով բույսի ՉԶ-ի վրա, որն ապահովում է ճշգրիտ տվյալներ, քանի որ այստեղ վերանում է վեգետացիայի ընթացքում կանաչ զանգվածում տեղի ունեցող խոնավության փոփոխության հետ կապված հնարավոր սխալը զանգված հաշվարկելիս: Հիմնվելով այս մեթոդին հաշվարկվել է բնակավայրում առկա անասնագլխաքանակի կերապահովմանն անհրաժեշտ ՉԶ-ի ընդհանուր քանակությունն ինչպես մեկ օրվա, այնպես էլ ամբողջ արոտային և մսուրային ժամանակահատվածների համար, որն ամփոփված է աղյուսակ 3-ում: </w:t>
      </w:r>
    </w:p>
    <w:p w:rsidR="002F010F" w:rsidRPr="00FF72FC" w:rsidRDefault="002F010F" w:rsidP="002F010F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Պայմանավորված աշխարհագրական տեղադիրքով և կենսակլիմայական պայմաններով, բնակավայրի պայմաններում, խոշոր եղջերավորի արոտային շրջանը կազմում է շուրջ 195 օր (ապրիլի երրորդ տասնօրյակից մինչև նոյեմբերի առաջին տասնօրյակը), իսկ մանր եղջերավորի (ոչխարի) արոտային շրջանը կազմում է 260 օր (մարտի երկրորդ տասնօրյակից մինչև դեկտեմբերի առաջին տասնօրյակը, գառների համար`210 օր (մայիսի առաջին տասնօրյակից մինչև դեկտեմբերի առաջին տասնօրյակը): Ինչպես երևում է աղյուսակ 3-ում բերված տվյալներից, բնակավայրում հաշվառված որոճող գյուղատնտեսական կենդանիների ՉԶ-ի ընդհանուր օրական պահանջը կազմում է 2090.19 կգ, որի 96.5 %-ը բաժին է ընկնում խոշոր եղջերավոր կենդանիներին: Արոտային շրջանում առկա անասնագլխի արոտակերի պահանջը կազմում է 403502.9 կգ, (403.5տ), իսկ մսուրային ժամանակահատվածի համար 361366.4 կգ, (361.3 տ):</w:t>
      </w:r>
    </w:p>
    <w:p w:rsidR="002F010F" w:rsidRPr="00FF72FC" w:rsidRDefault="002F010F" w:rsidP="002F010F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3 </w:t>
      </w:r>
    </w:p>
    <w:p w:rsidR="002F010F" w:rsidRPr="00FF72FC" w:rsidRDefault="002F010F" w:rsidP="002F010F">
      <w:pPr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անասնագլխի համար պահանջվող չոր զանգվածի (ՉԶ-խոտի) հաշվարկ (մարմնի կշիռ x 0.025)</w:t>
      </w:r>
    </w:p>
    <w:tbl>
      <w:tblPr>
        <w:tblW w:w="9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951"/>
        <w:gridCol w:w="1134"/>
        <w:gridCol w:w="1439"/>
        <w:gridCol w:w="1049"/>
        <w:gridCol w:w="1702"/>
        <w:gridCol w:w="1718"/>
      </w:tblGrid>
      <w:tr w:rsidR="002F010F" w:rsidRPr="00FF72FC" w:rsidTr="002F010F">
        <w:trPr>
          <w:trHeight w:val="20"/>
          <w:tblHeader/>
          <w:jc w:val="center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Գյուղ.</w:t>
            </w:r>
          </w:p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Կենդանիներ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Գլխա</w:t>
            </w: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softHyphen/>
              <w:t>քանակ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Մարմնի միջին կշիռ, կգ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1-գլխի ՉԶ-ի պահանջ, կգ/օր</w:t>
            </w:r>
          </w:p>
        </w:tc>
        <w:tc>
          <w:tcPr>
            <w:tcW w:w="4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Ընդհանուր գլխաքանակի ՉԶ-ի պահանջ,կգ</w:t>
            </w:r>
          </w:p>
        </w:tc>
      </w:tr>
      <w:tr w:rsidR="002F010F" w:rsidRPr="00FF72FC" w:rsidTr="002F010F">
        <w:trPr>
          <w:trHeight w:val="20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Օրեկան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Արոտային շրջանում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Մսուրային շրջանում</w:t>
            </w:r>
          </w:p>
        </w:tc>
      </w:tr>
      <w:tr w:rsidR="002F010F" w:rsidRPr="00FF72FC" w:rsidTr="002F010F">
        <w:trPr>
          <w:trHeight w:val="531"/>
          <w:tblHeader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</w:t>
            </w:r>
            <w:r w:rsidRPr="00FF72F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=</w:t>
            </w: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ԲxԴ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Զ</w:t>
            </w:r>
            <w:r w:rsidRPr="00FF72F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=</w:t>
            </w: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 x արած.օր,</w:t>
            </w:r>
          </w:p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ԽԵԿ </w:t>
            </w:r>
            <w:r w:rsidRPr="00FF72F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–</w:t>
            </w: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195 օր</w:t>
            </w: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</w:t>
            </w: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ՄԵԿ </w:t>
            </w:r>
            <w:r w:rsidRPr="00FF72F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- 260օր</w:t>
            </w: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Է</w:t>
            </w:r>
            <w:r w:rsidRPr="00FF72F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=</w:t>
            </w: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Ե x մսուր.օր,</w:t>
            </w:r>
          </w:p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ԽԵԿ</w:t>
            </w:r>
            <w:r w:rsidRPr="00FF72F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-170օր </w:t>
            </w: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FF72F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ՄԵԿ-115օր</w:t>
            </w: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</w:tc>
      </w:tr>
      <w:tr w:rsidR="002F010F" w:rsidRPr="00FF72FC" w:rsidTr="002F010F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Կաթնատու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220350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192100</w:t>
            </w:r>
          </w:p>
        </w:tc>
      </w:tr>
      <w:tr w:rsidR="002F010F" w:rsidRPr="00FF72FC" w:rsidTr="002F010F">
        <w:trPr>
          <w:trHeight w:val="589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320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20280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17680</w:t>
            </w:r>
          </w:p>
        </w:tc>
      </w:tr>
      <w:tr w:rsidR="002F010F" w:rsidRPr="00FF72FC" w:rsidTr="002F010F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3-12 ամսական հորթեր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2.75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247.5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39600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51975</w:t>
            </w:r>
          </w:p>
        </w:tc>
      </w:tr>
      <w:tr w:rsidR="002F010F" w:rsidRPr="00FF72FC" w:rsidTr="002F010F">
        <w:trPr>
          <w:trHeight w:val="495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12-24 ամսական հորթեր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180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87750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76500</w:t>
            </w:r>
          </w:p>
        </w:tc>
      </w:tr>
      <w:tr w:rsidR="002F010F" w:rsidRPr="00FF72FC" w:rsidTr="002F010F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37.5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7312.5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6375</w:t>
            </w:r>
          </w:p>
        </w:tc>
      </w:tr>
      <w:tr w:rsidR="002F010F" w:rsidRPr="00FF72FC" w:rsidTr="002F010F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9750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8500</w:t>
            </w:r>
          </w:p>
        </w:tc>
      </w:tr>
      <w:tr w:rsidR="002F010F" w:rsidRPr="00FF72FC" w:rsidTr="002F010F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Մաքի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1.25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31.2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8125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3588</w:t>
            </w:r>
          </w:p>
        </w:tc>
      </w:tr>
      <w:tr w:rsidR="002F010F" w:rsidRPr="00FF72FC" w:rsidTr="002F010F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1.25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12.5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3250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1437.5</w:t>
            </w:r>
          </w:p>
        </w:tc>
      </w:tr>
      <w:tr w:rsidR="002F010F" w:rsidRPr="00FF72FC" w:rsidTr="002F010F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Գառ+ուլեր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0.62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1.24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260.4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192.2</w:t>
            </w:r>
          </w:p>
        </w:tc>
      </w:tr>
      <w:tr w:rsidR="002F010F" w:rsidRPr="00FF72FC" w:rsidTr="002F010F">
        <w:trPr>
          <w:trHeight w:val="174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350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8.75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26.25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6825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3018.7</w:t>
            </w:r>
          </w:p>
        </w:tc>
      </w:tr>
      <w:tr w:rsidR="002F010F" w:rsidRPr="00FF72FC" w:rsidTr="002F010F">
        <w:trPr>
          <w:trHeight w:val="6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2090.19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403502.9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361366.4</w:t>
            </w:r>
          </w:p>
        </w:tc>
      </w:tr>
    </w:tbl>
    <w:p w:rsidR="002F010F" w:rsidRPr="00FF72FC" w:rsidRDefault="002F010F" w:rsidP="002F010F">
      <w:pPr>
        <w:rPr>
          <w:rFonts w:ascii="Sylfaen" w:hAnsi="Sylfaen"/>
          <w:sz w:val="16"/>
          <w:szCs w:val="16"/>
        </w:rPr>
      </w:pPr>
      <w:bookmarkStart w:id="11" w:name="_Toc402354608"/>
      <w:bookmarkStart w:id="12" w:name="_Toc524700600"/>
      <w:r w:rsidRPr="00FF72FC">
        <w:rPr>
          <w:rFonts w:ascii="Sylfaen" w:hAnsi="Sylfaen" w:cs="Sylfaen"/>
          <w:b/>
          <w:sz w:val="16"/>
          <w:szCs w:val="16"/>
        </w:rPr>
        <w:t>Ծանոթություն</w:t>
      </w:r>
      <w:r w:rsidRPr="00FF72FC">
        <w:rPr>
          <w:rFonts w:ascii="Sylfaen" w:hAnsi="Sylfaen"/>
          <w:sz w:val="16"/>
          <w:szCs w:val="16"/>
        </w:rPr>
        <w:t xml:space="preserve">` </w:t>
      </w:r>
      <w:r w:rsidRPr="00FF72FC">
        <w:rPr>
          <w:rFonts w:ascii="Sylfaen" w:hAnsi="Sylfaen" w:cs="Sylfaen"/>
          <w:sz w:val="16"/>
          <w:szCs w:val="16"/>
        </w:rPr>
        <w:t>գառների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արոտային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շրջանը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կազմում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է</w:t>
      </w:r>
      <w:r w:rsidRPr="00FF72FC">
        <w:rPr>
          <w:rFonts w:ascii="Sylfaen" w:hAnsi="Sylfaen"/>
          <w:sz w:val="16"/>
          <w:szCs w:val="16"/>
        </w:rPr>
        <w:t xml:space="preserve"> 210 </w:t>
      </w:r>
      <w:r w:rsidRPr="00FF72FC">
        <w:rPr>
          <w:rFonts w:ascii="Sylfaen" w:hAnsi="Sylfaen" w:cs="Sylfaen"/>
          <w:sz w:val="16"/>
          <w:szCs w:val="16"/>
        </w:rPr>
        <w:t>օր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մայիսի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առաջին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տասնօրյակից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մինջև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դեկտեմբերի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առաջին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տասնօրյակը</w:t>
      </w:r>
    </w:p>
    <w:p w:rsidR="002F010F" w:rsidRPr="00FF72FC" w:rsidRDefault="002F010F" w:rsidP="002F010F">
      <w:pPr>
        <w:pStyle w:val="1"/>
        <w:spacing w:before="0" w:after="0" w:line="360" w:lineRule="auto"/>
        <w:rPr>
          <w:rFonts w:ascii="Sylfaen" w:hAnsi="Sylfaen"/>
          <w:sz w:val="16"/>
          <w:szCs w:val="16"/>
        </w:rPr>
      </w:pPr>
    </w:p>
    <w:p w:rsidR="002F010F" w:rsidRPr="00FF72FC" w:rsidRDefault="002F010F" w:rsidP="002F010F">
      <w:pPr>
        <w:pStyle w:val="1"/>
        <w:spacing w:before="0" w:after="0" w:line="360" w:lineRule="auto"/>
        <w:jc w:val="center"/>
        <w:rPr>
          <w:rFonts w:ascii="Sylfaen" w:hAnsi="Sylfaen"/>
          <w:b w:val="0"/>
          <w:sz w:val="16"/>
          <w:szCs w:val="16"/>
        </w:rPr>
      </w:pPr>
      <w:bookmarkStart w:id="13" w:name="_Toc17795359"/>
      <w:r w:rsidRPr="00FF72FC">
        <w:rPr>
          <w:rFonts w:ascii="Sylfaen" w:hAnsi="Sylfaen"/>
          <w:sz w:val="16"/>
          <w:szCs w:val="16"/>
        </w:rPr>
        <w:t xml:space="preserve">4. </w:t>
      </w:r>
      <w:r w:rsidRPr="00FF72FC">
        <w:rPr>
          <w:rFonts w:ascii="Sylfaen" w:hAnsi="Sylfaen" w:cs="Sylfaen"/>
          <w:sz w:val="16"/>
          <w:szCs w:val="16"/>
        </w:rPr>
        <w:t>Բնակավայրի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ֆիզիկաաշխարհագրական</w:t>
      </w:r>
      <w:bookmarkStart w:id="14" w:name="_Toc402354609"/>
      <w:bookmarkEnd w:id="11"/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առանձնահատկությունները</w:t>
      </w:r>
      <w:bookmarkEnd w:id="12"/>
      <w:bookmarkEnd w:id="13"/>
      <w:bookmarkEnd w:id="14"/>
    </w:p>
    <w:p w:rsidR="002F010F" w:rsidRPr="00FF72FC" w:rsidRDefault="002F010F" w:rsidP="002F010F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Թառաթումբ բնակավայրը աշխարհագրական տեղադրվածությամբ գտնվում է ՀՀ Վայոց Ձոր մարզի Եղեգնաձորի տարածաշրջանում, ծովի մակարդակից շուրջ 1630 մ բարձրության վրա: Բնակավայրի վարչական տարածքը տարածված է Վարդենիսի լեռների հարավ-արևմտյան կողմնադրման լանջերի ցածրադիր, միջին և վերին բարձրության սարավանդներում, ծովի մակարդակից 1600 մ-ից մինչև 3100 մ բարձրությունները, ներառնվելով հետևյալ բնական լանդշաֆտային գոտիներում՝</w:t>
      </w:r>
    </w:p>
    <w:p w:rsidR="002F010F" w:rsidRPr="00FF72FC" w:rsidRDefault="002F010F" w:rsidP="002F010F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ա) </w:t>
      </w:r>
      <w:proofErr w:type="gramStart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լեռնատա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փաս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տանային</w:t>
      </w:r>
      <w:proofErr w:type="gramEnd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գոտի            ( ծ.մ.1600-2300 մ),</w:t>
      </w:r>
    </w:p>
    <w:p w:rsidR="002F010F" w:rsidRPr="00FF72FC" w:rsidRDefault="002F010F" w:rsidP="002F010F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բ)  </w:t>
      </w:r>
      <w:proofErr w:type="gramStart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մերձալպյան</w:t>
      </w:r>
      <w:proofErr w:type="gramEnd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լեռնամարգագետնային գոտի ( ծ.մ.2300-2700 մ), </w:t>
      </w:r>
    </w:p>
    <w:p w:rsidR="002F010F" w:rsidRPr="00FF72FC" w:rsidRDefault="002F010F" w:rsidP="002F010F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գ) </w:t>
      </w:r>
      <w:proofErr w:type="gramStart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ալպյան</w:t>
      </w:r>
      <w:proofErr w:type="gramEnd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լեռնամարգագետնային գոտի      ( ծ.մ.2700-3100 մ), </w:t>
      </w:r>
    </w:p>
    <w:p w:rsidR="002F010F" w:rsidRPr="00FF72FC" w:rsidRDefault="002F010F" w:rsidP="002F010F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վարչական տարածքում ձևավորված հողերի համար, որպես մայրական տեսակներ են հանդիսացել հրաբխածին և նստվածքային ապարները` հիմնականում անդեզիտո-բազալտային, անդեզիտային, տուֆային առավել սակավ՝ թերթաքարային կվարցերը, գրանիտները և տրավերտինները: Սրանց հողմնհարման արդյունքում ձևավորված տարրերը առավելապես դելյուվիալ, դելյուվիալ-պրոլյուվիալ, ալյուվիալ-պրոլյուվիալ գետահունային բերվածքների, ինչպես նաև մայրական ապարների լերկացման տեսքով առաջացրել են գենետիկական նստվածքներ, որոնցից և ձևավորվել են ներկայիս հողատիպերը (գորշ անտառային խճաքարային, տիպիկ մարգագետնատափաստանային, լեռնամարգագետնային թույլ և ուժեղ ճմակալած, լեռնամարգագետնային ճմատորֆային և դարչնագույն հողեր): Հողերի քարքարոտվածությունը բարձրադիր մասերւոմ բարձր է և կազմում է 15-21%:</w:t>
      </w:r>
    </w:p>
    <w:p w:rsidR="002F010F" w:rsidRPr="00FF72FC" w:rsidRDefault="002F010F" w:rsidP="002F010F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/>
          <w:bCs w:val="0"/>
          <w:spacing w:val="0"/>
          <w:sz w:val="16"/>
          <w:szCs w:val="16"/>
        </w:rPr>
        <w:t xml:space="preserve">ա) Լեռնատափաստանային գոտին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ընդգրկում է Վարդենիսի լեռների հարավ արևմտյան կողմնադրման լանջերի ցածրադիր հատվածները և հարակից լեռնային սարավանդները ծովի մակարդակից մինչև </w:t>
      </w:r>
      <w:r w:rsidRPr="00FF72FC">
        <w:rPr>
          <w:rFonts w:ascii="Sylfaen" w:hAnsi="Sylfaen"/>
          <w:bCs w:val="0"/>
          <w:spacing w:val="0"/>
          <w:sz w:val="16"/>
          <w:szCs w:val="16"/>
        </w:rPr>
        <w:t>2300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մ. բարձրությամբ: Կլիման բարեխառն լեռնային է, տաք ամառ և ցուրտ ձմեռ, կայուն ձնածածկույթով: Ամենաբարձր դրական ջերմաստիճանը ամռանը կազմում է +38,0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C, իսկ ամենացուրտ եղանակը գրանցվում է հունվար ամսին, միջինը -18-22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C:</w:t>
      </w:r>
    </w:p>
    <w:p w:rsidR="002F010F" w:rsidRPr="00FF72FC" w:rsidRDefault="002F010F" w:rsidP="002F010F">
      <w:pPr>
        <w:spacing w:line="360" w:lineRule="auto"/>
        <w:ind w:firstLine="54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Մթնոլորտային տեղումների տարեկան քանակը կազմում է 400-450 մմ: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Հողային ֆոնդը միջին և բարձր քարքարոտվածությամբ, հիմնականում բաղկացած է միջին և բարձր հզորությամբ լեռնաշագանակագույն հողերից և լեռնաանտառային դարչնագույն հողատիպերից: Մակերևույթային հոսքերը միջին արտահայտվածությամբ, առավել գերակշռում են ստորերկրյա հոսքերը: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Չոր կլիմայի պայմաններում, բնական լանդշաֆտներում օրգանական նյութի քայքայումը ինտեսիվ ձևով է կատարվում, որի հետևանքով գոտուն բնորոշ տարատեսակ հողերում հումուսի պարունակությունը կազմում է 4-5%: Հողածածկը միջին քարքարոտությամբ, հզորությունը մինջև 18-25 սմ: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Բուսականությունը` հիմնականում դաշտավլուկազգի-տարախոտային տափաստանային է: Բնական բուսածածկոցում ամենուրեք գերիշխում են տարբեր սիզախոտեր, շյուղախոտեր, ոզնախոտը, ցորնուկը, դաշտավլուկը, սեզը, սիզախոտը, դաշտամոլախոտային վիկերը, հազարատերևուկը, օշինդրերը, իշակաթնուկը և այլն: Մեծ թեքությամբ լանջերին հանդիպում են փշաբարձային և վատորակ աստրագալային կիսաթփուտների զգալի տարածվածություն, առանձին հատվածներում մակերևույթային հողմնահարման և էռոզիաների հետևանքով առկա են մայրական ապարների ելքեր քարաբեկորների տեսքով: Առավել բարձրադիր հատվածների լեռնալանջերում հատվածներով տարածվում է երկրորդական ծագման թփուտային տարածքները: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Բուսածածկում հիմնականում գերակշռում են քսերոմեզոֆիտ տեսակները, որի պատճառով առաջացել են կերհանդակների քիչ տիպեր, որոնք հիմնականում օգտագործվում են որպես արոտավայրեր: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 w:cs="Sylfaen"/>
          <w:sz w:val="16"/>
          <w:szCs w:val="16"/>
        </w:rPr>
      </w:pPr>
      <w:r w:rsidRPr="00FF72FC">
        <w:rPr>
          <w:rFonts w:ascii="Sylfaen" w:hAnsi="Sylfaen"/>
          <w:b/>
          <w:bCs w:val="0"/>
          <w:spacing w:val="0"/>
          <w:sz w:val="16"/>
          <w:szCs w:val="16"/>
        </w:rPr>
        <w:t>բ) Մերձալպյան գոտի</w:t>
      </w:r>
      <w:bookmarkStart w:id="15" w:name="_Toc524700601"/>
      <w:bookmarkStart w:id="16" w:name="_Toc402354610"/>
      <w:r w:rsidRPr="00FF72FC">
        <w:rPr>
          <w:rFonts w:ascii="Sylfaen" w:hAnsi="Sylfaen"/>
          <w:b/>
          <w:bCs w:val="0"/>
          <w:spacing w:val="0"/>
          <w:sz w:val="16"/>
          <w:szCs w:val="16"/>
        </w:rPr>
        <w:t xml:space="preserve">,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ընդգրկում է Վարդենիսի լեռնաշղթայի հարավային կողմնադրության բարձրադիր լանջերը՝ ծ.մ. 2300-2700 մ բարձրությունները: Բնական գործընթացներն այստեղ ընթանում են ցածր ջերմաստիճանների և համեմատաբար առատ խոնավության պայմաններում: Ձմեռն այստեղ տևական է (4-4.5 ամիս) և միջին ձնառատությամբ: Ձմռան ամիսներին օդի միջին ջերմաստիճանը -12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C է, իսկ նվազագույնը՝ իջնում է՝ -28-30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C: Վեգետացիոն ժամանակաշրջանը 3.5 ամիս է: </w:t>
      </w:r>
    </w:p>
    <w:p w:rsidR="002F010F" w:rsidRPr="00FF72FC" w:rsidRDefault="002F010F" w:rsidP="002F010F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Հողառաջացումը կատարվում է տևական ձնածածկույթի պայմաններում: Ցածր ջերմաստիճանը հնարավորություն է տալիս հզոր հումուսային շերտի առաջացմանը: Գոտին բնորոշվում է լեռնամարգագետնային թույլ և ուժեղ ճմակալված սևահողերով: Արգավանդ հողաշերտը հաճախ գերազանցելում է 40-50սմ-ը: Լանդշաֆտային գոտու զգալի հատվածներում առկա են խոշոր քարերի ելքեր և ժայռային գոյացություններ: Այստեղ ձևավորված են հիմնականում ենթալպյան փարթամ բուսածածկ, որտեղ հաճախ հանդիպող բուսատեսակներն են՝ խատուտիկը, ալպիական դաշտավլուկը, մարգագետնային սիզախոտը, հավաքված ոզնախոտը, սպիտակ սև և պսպղուն օշինդրերը, շյուղախոտեր, երեքնուկներ, եղջերառվույտը, փոքր առվույտը, վերոնիկան, զանգակածաղիկը, տերեփուկը, թթվիճը, գայլաթաթը, կելերյան, խայտաբղետ ցորնուկը, տարկավանը և այլն: Տարեկան թափվող տեղումների քանակը կազմում է մինչև 550-650 մմ: Գոտին բնութագրվում է բավականին բարձր բուսապատվածությամբ և հարուստ տեսակային կազմերով, հանդիպում են շուրջ 75-85 տեսակներ:</w:t>
      </w:r>
    </w:p>
    <w:p w:rsidR="002F010F" w:rsidRPr="00FF72FC" w:rsidRDefault="002F010F" w:rsidP="002F010F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գ) Բարձր լեռնային ալպյան լեռնամարգագետնային գոտի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, ընդգրկում է Վարդենիսի լեռնաշխթայի հարավ-արևմտյան կողմնադրության բարձրադիր լանջերը՝ 2700-3100 մ բարձրությունները: Բնական գործընթացներն այստեղ ընթանում են ցածր ջերմաստիճանի և առատ խոնավության պայմաններում: Ձմեռը տևական է 4.5-5 ամիս, ձնառատ: Ձմռանը օդի միջին ջերմաստիճանը -10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 է, նվազագույնը մինչև -34-36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C: Վեգետացիոն ժամանակահատվածը 2.5-3 ամիս է: գոտին բնութագրվում է հիմնականում լեռնամարգագետնային ուժեղ ճմակալված, լեռնամարգագետնային ճմատորֆային և ճմակալված դարչնագույն մեծ հզորությամբ հողերի գերակշռությամբ: Բուսածածկը ցածր է 8-12 սմ բարձրությամբ, օժտված արագ աճեցողությամբ: Այս գոտու լանդշաֆտներում ձևավորված են ալպյան գորգերը, որոնք հաճախ խախտվում են ժայռերով և չինգիլներով: Բուսական ծածկոցի կազմը հիմնականում պայմանավորված է լանջերի դիրքադրումից և քարային կուտակումների միկրոպայմաններից: Գոտու արոտավայրերի որոշ մասը օգտագործվում է հեռագնա ճամբարային պահվածքով: </w:t>
      </w:r>
    </w:p>
    <w:p w:rsidR="002F010F" w:rsidRPr="00FF72FC" w:rsidRDefault="002F010F" w:rsidP="002F010F">
      <w:pPr>
        <w:pStyle w:val="2"/>
        <w:spacing w:before="0" w:after="0" w:line="360" w:lineRule="auto"/>
        <w:rPr>
          <w:rFonts w:ascii="Sylfaen" w:hAnsi="Sylfaen"/>
          <w:i w:val="0"/>
          <w:color w:val="auto"/>
          <w:sz w:val="16"/>
          <w:szCs w:val="16"/>
          <w:lang w:val="en-US"/>
        </w:rPr>
      </w:pPr>
      <w:r w:rsidRPr="00FF72FC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</w:p>
    <w:p w:rsidR="002F010F" w:rsidRPr="00FF72FC" w:rsidRDefault="002F010F" w:rsidP="002F010F">
      <w:pPr>
        <w:pStyle w:val="2"/>
        <w:spacing w:before="0" w:after="0" w:line="360" w:lineRule="auto"/>
        <w:jc w:val="center"/>
        <w:rPr>
          <w:rFonts w:ascii="Sylfaen" w:hAnsi="Sylfaen" w:cs="Sylfaen"/>
          <w:i w:val="0"/>
          <w:color w:val="auto"/>
          <w:sz w:val="16"/>
          <w:szCs w:val="16"/>
          <w:lang w:val="en-US"/>
        </w:rPr>
      </w:pPr>
      <w:bookmarkStart w:id="17" w:name="_Toc17795360"/>
      <w:r w:rsidRPr="00FF72FC">
        <w:rPr>
          <w:rFonts w:ascii="Sylfaen" w:hAnsi="Sylfaen"/>
          <w:i w:val="0"/>
          <w:color w:val="auto"/>
          <w:sz w:val="16"/>
          <w:szCs w:val="16"/>
        </w:rPr>
        <w:t xml:space="preserve">4.1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Արոտատեղամասերի էկոլոգիական</w:t>
      </w:r>
      <w:r w:rsidRPr="00FF72F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գնահատում</w:t>
      </w:r>
      <w:bookmarkEnd w:id="15"/>
      <w:bookmarkEnd w:id="16"/>
      <w:bookmarkEnd w:id="17"/>
    </w:p>
    <w:p w:rsidR="002F010F" w:rsidRPr="00FF72FC" w:rsidRDefault="002F010F" w:rsidP="002F010F">
      <w:pPr>
        <w:spacing w:line="360" w:lineRule="auto"/>
        <w:ind w:firstLine="709"/>
        <w:jc w:val="both"/>
        <w:rPr>
          <w:rFonts w:ascii="Sylfaen" w:hAnsi="Sylfaen"/>
          <w:color w:val="auto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Թառաթումբ բնակավայրի վարչական տարածքում բ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նական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ար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ո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տներ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 (նոր քարտեզագրումով ստացված տվյալներով) կազմում են 736.81 հա,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ինչը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բնականաբար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կարևորագույն ռեսուրս է բնակավայրի պայմաններում անասնապահության ոլորտին անհրաժեշտ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արոտային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շրջանի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կերապահովման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խնդրի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լուծմ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ն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գործում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: Բնակավայրի արոտավայրերը տարածված են վերը նշված լանդշաֆտային գոտիների տարբեր բարձրություններում, որտեղ էականորեն տարբերվում են ինչպես բուսատեղի պայմանները, այնպես էլ ձևավորվող բուսածածկն ու բուսապատվածության աստիճանը (աղ.4): </w:t>
      </w:r>
    </w:p>
    <w:p w:rsidR="002F010F" w:rsidRPr="00FF72FC" w:rsidRDefault="002F010F" w:rsidP="002F010F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4</w:t>
      </w:r>
    </w:p>
    <w:p w:rsidR="002F010F" w:rsidRPr="00FF72FC" w:rsidRDefault="002F010F" w:rsidP="002F010F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Լանդշաֆտային գոտիների արոտավայրերում առկա տարրեր և </w:t>
      </w:r>
    </w:p>
    <w:p w:rsidR="002F010F" w:rsidRPr="00FF72FC" w:rsidRDefault="002F010F" w:rsidP="002F010F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proofErr w:type="gramStart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բուսապատվածություն</w:t>
      </w:r>
      <w:proofErr w:type="gramEnd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(%)</w:t>
      </w: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411"/>
        <w:gridCol w:w="851"/>
        <w:gridCol w:w="1418"/>
        <w:gridCol w:w="1277"/>
        <w:gridCol w:w="1277"/>
        <w:gridCol w:w="1418"/>
      </w:tblGrid>
      <w:tr w:rsidR="002F010F" w:rsidRPr="00FF72FC" w:rsidTr="002F010F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Արոտամասի 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Արոտամասի անվանումը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Չափը, հա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Քարքա</w:t>
            </w: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</w: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</w: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րոտու</w:t>
            </w: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թյունը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Ժայռոտ ափերով ձորեր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Բուսա</w:t>
            </w: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ծածկ տարածք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Լանդշաֆտային գոտի</w:t>
            </w:r>
          </w:p>
        </w:tc>
      </w:tr>
      <w:tr w:rsidR="002F010F" w:rsidRPr="00FF72FC" w:rsidTr="002F010F">
        <w:trPr>
          <w:trHeight w:val="3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Գյունեյ-1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55.86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2F010F" w:rsidRPr="00FF72FC" w:rsidTr="002F010F">
        <w:trPr>
          <w:trHeight w:val="2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Գյունեյ-2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2F010F" w:rsidRPr="00FF72FC" w:rsidTr="002F010F">
        <w:trPr>
          <w:trHeight w:val="3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Գյունեյ-3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66.35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2F010F" w:rsidRPr="00FF72FC" w:rsidTr="002F01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Գյունեյ-4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47.0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2F010F" w:rsidRPr="00FF72FC" w:rsidTr="002F01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Հարութենց արտեր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21.64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2F010F" w:rsidRPr="00FF72FC" w:rsidTr="002F01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Եդի կարդաշ-1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38.19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2F010F" w:rsidRPr="00FF72FC" w:rsidTr="002F01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Եդի կարդաշ-2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2F010F" w:rsidRPr="00FF72FC" w:rsidTr="002F01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Մարկոսի յալ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27.12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2F010F" w:rsidRPr="00FF72FC" w:rsidTr="002F01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Իման արխաջ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33.01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2F010F" w:rsidRPr="00FF72FC" w:rsidTr="002F01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Վերին յուրդ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</w:t>
            </w:r>
            <w:bookmarkStart w:id="18" w:name="_GoBack"/>
            <w:bookmarkEnd w:id="18"/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1/2</w:t>
            </w:r>
          </w:p>
        </w:tc>
      </w:tr>
      <w:tr w:rsidR="002F010F" w:rsidRPr="00FF72FC" w:rsidTr="002F01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Գնդասար-1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63.62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1/2</w:t>
            </w:r>
          </w:p>
        </w:tc>
      </w:tr>
      <w:tr w:rsidR="002F010F" w:rsidRPr="00FF72FC" w:rsidTr="002F01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Գնդասար-2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57.96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2/1</w:t>
            </w:r>
          </w:p>
        </w:tc>
      </w:tr>
      <w:tr w:rsidR="002F010F" w:rsidRPr="00FF72FC" w:rsidTr="002F01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Այնազուր օբա-1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45.79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2F010F" w:rsidRPr="00FF72FC" w:rsidTr="002F01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Այնազուր օբա-2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45.58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18.0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2F010F" w:rsidRPr="00FF72FC" w:rsidTr="002F01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Ջիլի-1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80.87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2F010F" w:rsidRPr="00FF72FC" w:rsidTr="002F01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Ջիլի-2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2F010F" w:rsidRPr="00FF72FC" w:rsidTr="002F01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Սարատեղ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84.09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2F010F" w:rsidRPr="00FF72FC" w:rsidTr="002F01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Ջանգուր թարա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96.29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2F010F" w:rsidRPr="00FF72FC" w:rsidTr="002F01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Գնդասար-3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143.85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3/2</w:t>
            </w:r>
          </w:p>
        </w:tc>
      </w:tr>
      <w:tr w:rsidR="002F010F" w:rsidRPr="00FF72FC" w:rsidTr="002F010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Գնդասար-4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45.7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18.0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</w:tbl>
    <w:p w:rsidR="002F010F" w:rsidRPr="00FF72FC" w:rsidRDefault="002F010F" w:rsidP="002F010F">
      <w:pPr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Ծանոթություն`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աղյուսակում լանդշաֆտային գոտին ներկայացված է համապատասխան թվով` </w:t>
      </w:r>
    </w:p>
    <w:p w:rsidR="002F010F" w:rsidRPr="00FF72FC" w:rsidRDefault="002F010F" w:rsidP="002F010F">
      <w:pPr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1- </w:t>
      </w:r>
      <w:proofErr w:type="gramStart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լեռնատափաստանային</w:t>
      </w:r>
      <w:proofErr w:type="gramEnd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, 2- մերձալպյան, 3-ալպյան լեռնամարգագետնային:</w:t>
      </w:r>
    </w:p>
    <w:p w:rsidR="002F010F" w:rsidRPr="00FF72FC" w:rsidRDefault="002F010F" w:rsidP="002F010F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Նշված գոտիներում առանձնացվել են 20 արոտատեղամասեր (տես` աղյուսակ 4): Արոտատեղամասերի առանձնացումը կատարվել է երկու մոտեցմամբ, ըստ լանդշաֆտային գոտու բարձրությունների և ռելիեֆի ձևաբանական միավորների (գետահովիտներ, բլրաշարեր և այլն): Իսկ արոտատեղամասերի էկոլոգիական իրավիճակի գնահատումը կատարվել է հիմնականում դաշտային ուսումնասիրությունների` մոնիտորինգի արդյունքում, ինչպես նաև կամերալ պայմաններում տիեզերական նկարների վիզուալ վերծանմամբ:</w:t>
      </w:r>
    </w:p>
    <w:p w:rsidR="002F010F" w:rsidRPr="00FF72FC" w:rsidRDefault="002F010F" w:rsidP="002F010F">
      <w:pPr>
        <w:spacing w:line="360" w:lineRule="auto"/>
        <w:ind w:firstLine="720"/>
        <w:jc w:val="both"/>
        <w:rPr>
          <w:rFonts w:ascii="Sylfaen" w:hAnsi="Sylfaen"/>
          <w:b/>
          <w:bCs w:val="0"/>
          <w:color w:val="FF0000"/>
          <w:spacing w:val="0"/>
          <w:sz w:val="16"/>
          <w:szCs w:val="16"/>
        </w:rPr>
      </w:pPr>
      <w:r w:rsidRPr="00FF72FC">
        <w:rPr>
          <w:rFonts w:ascii="Sylfaen" w:hAnsi="Sylfaen"/>
          <w:b/>
          <w:bCs w:val="0"/>
          <w:spacing w:val="0"/>
          <w:sz w:val="16"/>
          <w:szCs w:val="16"/>
        </w:rPr>
        <w:t xml:space="preserve">Լեռնատափաստանային </w:t>
      </w:r>
      <w:r w:rsidRPr="00FF72FC">
        <w:rPr>
          <w:rFonts w:ascii="Sylfaen" w:hAnsi="Sylfaen"/>
          <w:bCs w:val="0"/>
          <w:spacing w:val="0"/>
          <w:sz w:val="16"/>
          <w:szCs w:val="16"/>
        </w:rPr>
        <w:t>լանդշաֆտային գոտում է գտնվում արոտավայրերի 34.69 % (380.68),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որտեղ </w:t>
      </w:r>
      <w:r w:rsidRPr="00FF72FC">
        <w:rPr>
          <w:rFonts w:ascii="Sylfaen" w:hAnsi="Sylfaen"/>
          <w:bCs w:val="0"/>
          <w:spacing w:val="0"/>
          <w:sz w:val="16"/>
          <w:szCs w:val="16"/>
        </w:rPr>
        <w:t>առանձնացվել է Գյունեյ-1: 2: 3: 4, Հարութենց արտեր, Եդի կարադաշ-1: 2, Մարկոսի յալ և Իման արխաջ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արոտավայրերը, ինչպես նաև Գնդասար-1 և 2 արոտավայրերի ցածրադիր հատվածները:</w:t>
      </w:r>
      <w:r w:rsidRPr="00FF72FC">
        <w:rPr>
          <w:rFonts w:ascii="Sylfaen" w:hAnsi="Sylfaen"/>
          <w:bCs w:val="0"/>
          <w:spacing w:val="0"/>
          <w:sz w:val="16"/>
          <w:szCs w:val="16"/>
        </w:rPr>
        <w:t xml:space="preserve"> Այս արոտավայրերին բնորոշ է քարքարոտության թույլ աստիճան, մինջև 5-13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%:</w:t>
      </w:r>
      <w:r w:rsidRPr="00FF72FC">
        <w:rPr>
          <w:rFonts w:ascii="Sylfaen" w:hAnsi="Sylfaen"/>
          <w:bCs w:val="0"/>
          <w:spacing w:val="0"/>
          <w:sz w:val="16"/>
          <w:szCs w:val="16"/>
        </w:rPr>
        <w:t xml:space="preserve"> Էկոլոգիական գնահատման տեսակետից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բնակավայրամերձ այս արոտավայրերում առկա է բուսածածկի հիմնականում միջին, մասամբ նաև բարձր դեգրադացվածություն, պայմանավորված գերօգտագործվածության բարձր մակարդակով: Որոշ հատվածներում զգալի տարածում ունեն կիսաթփուտային բուսուտների` գազերի տարածվածությունը (0.6-1.5%), արոտատեղամասերում միջին բուսապատվածությունն կազմում է </w:t>
      </w:r>
      <w:r w:rsidRPr="00FF72FC">
        <w:rPr>
          <w:rFonts w:ascii="Sylfaen" w:hAnsi="Sylfaen"/>
          <w:bCs w:val="0"/>
          <w:spacing w:val="0"/>
          <w:sz w:val="16"/>
          <w:szCs w:val="16"/>
        </w:rPr>
        <w:t>72-76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%: Բուսակացքը տեսակային կազմերով հարուստ է, առավելապես գերակշռում են չափավոր խոնավասեր տեսակները: Այս արոտատեղամասերում առկա է վարընթաց զարգացում, բավականին բարձր են արոտի դեգրադացիայի (ԱԴՑ) և էրոզիայի հակվածության (ԷՀՑ) ցուցանիշները: Միջին ռիսկային արոտավայրեր են համաձայն արոտի իրավիճակի ցուցանիշի (ԱԻՑ) ստացված արժեքների:</w:t>
      </w:r>
    </w:p>
    <w:p w:rsidR="002F010F" w:rsidRPr="00FF72FC" w:rsidRDefault="002F010F" w:rsidP="002F010F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Մերձալպյան լեռնամարգագետնա</w:t>
      </w: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softHyphen/>
        <w:t>յին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լանդշաֆտային գոտում տարածված են արոտավայրերի հիմնական հատվածներ` </w:t>
      </w:r>
      <w:r w:rsidRPr="00FF72FC">
        <w:rPr>
          <w:rFonts w:ascii="Sylfaen" w:hAnsi="Sylfaen"/>
          <w:bCs w:val="0"/>
          <w:spacing w:val="0"/>
          <w:sz w:val="16"/>
          <w:szCs w:val="16"/>
        </w:rPr>
        <w:t xml:space="preserve">50.82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%</w:t>
      </w:r>
      <w:r w:rsidRPr="00FF72FC">
        <w:rPr>
          <w:rFonts w:ascii="Sylfaen" w:hAnsi="Sylfaen"/>
          <w:bCs w:val="0"/>
          <w:spacing w:val="0"/>
          <w:sz w:val="16"/>
          <w:szCs w:val="16"/>
        </w:rPr>
        <w:t xml:space="preserve"> (557.76 հա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), առանձնացվել է այնազուր օբա-1: 2, Ջիլի -1, Սարատեղ, Գնդասար-4 արոտավայրերը և Ջիլի-2, Ջանգուր թարա, Գնդասար-3 արոտավայրերի ցածրադիր հատվածները, ինչպես նաև Գնդասար-1: 2 արոտատեղամասերի բարձրադիր հատվածները: Էկոլոգիական գնահատման տեսակետից այս տեղամասին բնորոշ է միջին և բարձր քարքարոտվածությունը` մինչև 8-18%: Քարքարոտվածության հետ մեկտեղ առկա են փշաբարձային կիսաթփուտների մեծ տարածվածություն, որոշ հատվածներում նաև նոսրանտառային թփուտներ: Միջին և բարձր թեքությամբ նոսրացած բուսածածկով լանջերին հատվածներով առկա է քարային ցրոների տարածվածություն և մակերևույթային էրոզիայի հստակ նշաններ, պայմանավորված մասնակի և ընդարձակվող բուսազրկվածությամբ: Միջին բուսապատվածության աստիճանը արոտում կազմում է մինչև 77-83 %: Միջին ռիսկային արոտավայրեր են համաձայն արոտի իրավիճակի ցուցանիշի (ԱԻՑ) ստացված արժեքների: Բուսածածկում առավելապես գերակշռում են մերձալպյան բարձրախոտային համակեցությունները:</w:t>
      </w:r>
    </w:p>
    <w:p w:rsidR="002F010F" w:rsidRPr="00FF72FC" w:rsidRDefault="002F010F" w:rsidP="002F010F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Ալպյան լեռնամարգագետնային գոտում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առանձնացվել են Ջիլի-1: 2 , Ջանգուրա թարա և գնդասար-3 արոտավայրերի բարձրադիր հատվածները: Գոտու արոտների մակերևույթը բնութագրվում է հիմնականում միջին և բարձր ռելիֆայնությամբ, տեղ-տեղ գերբարձր թեքության լանջերով և զառիթափեր ունեցող լեռնազանգվածներով (որոշ հատվածներում լանջերի թեքությունը կազմում է 40-50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), խորը ընկած ձորերով և միջլեռնային հարթություններով: Գոտու տեղամասերի բնորոշ առանձնահատկություններից մեկը քարացրոնների և լեռնային չինգիլների զգալի տարածվածությունն է, ինչով պայմանավորված զգալի կրճատվում է որոշ արոտատեղամասերի օգտակար մակերեսները: Այստեղ նույնպես քարքարոտվածությունը տատանվում է մեծ միջակայքում՝ 13-17 %-ի սահմաններում: Բարձր է քարքարոտվածությունն հատկապես Ջիլ-1: 2, Ջանգուրա թալա և Գնդասար-3 արոտավայրերում, կազմելով 14-17%: Այս գոտու հիմնական արոտատեղամասերում համեմատաբար բարձր է բուսապատվածությունը, ինչով պայմանավորված էկոլոգիական վիճակը համեմատաբար կայուն է: Ընդհանուր բուսապատվածությունը կազմում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է 73-86%: Արոտներում առկա է համեմատաբար կայուն վիճակ, էռոզիայի հակվածությոնն (ԷՀՑ) և արոտի դեգրադացվածությունն (ԱԴՑ) միջին և ցածր ռիսկային տիրույթում է: </w:t>
      </w:r>
    </w:p>
    <w:p w:rsidR="002F010F" w:rsidRPr="00FF72FC" w:rsidRDefault="002F010F" w:rsidP="002F010F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Ընդհանուր առմամբ բնակավայրի արոտներից առավել դեգրադացված են լեռնատափաստանային գոտու բնակավայրամերձ հատվածի արոտները, որտեղ պայմանավորված վաղ գարնանային գերարածեցումների և ոտնահարման բարձր մակարդակով, առկա են դեգրադացված տարածքներ, իսկ թեքություններում ձևավորվել և զարգացում է ապրում մակերևույթային էրոզիան, ինչով և պայմանավորված արոտների որոշ հատվածներում իրավիճակի ցուցանիշները (ԱԻՑ) գնահատվում է միջինից բարձր ռիսկային:</w:t>
      </w:r>
    </w:p>
    <w:p w:rsidR="002F010F" w:rsidRPr="00FF72FC" w:rsidRDefault="002F010F" w:rsidP="002F010F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19" w:name="_Toc402354611"/>
      <w:bookmarkStart w:id="20" w:name="_Toc17795361"/>
      <w:bookmarkStart w:id="21" w:name="_Toc524700602"/>
      <w:r w:rsidRPr="00FF72FC">
        <w:rPr>
          <w:rFonts w:ascii="Sylfaen" w:hAnsi="Sylfaen"/>
          <w:sz w:val="16"/>
          <w:szCs w:val="16"/>
        </w:rPr>
        <w:t xml:space="preserve">5. </w:t>
      </w:r>
      <w:r w:rsidRPr="00FF72FC">
        <w:rPr>
          <w:rFonts w:ascii="Sylfaen" w:hAnsi="Sylfaen" w:cs="Sylfaen"/>
          <w:sz w:val="16"/>
          <w:szCs w:val="16"/>
        </w:rPr>
        <w:t>Ընթացիկ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կառավարում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ըստ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գոտ</w:t>
      </w:r>
      <w:bookmarkEnd w:id="19"/>
      <w:r w:rsidRPr="00FF72FC">
        <w:rPr>
          <w:rFonts w:ascii="Sylfaen" w:hAnsi="Sylfaen" w:cs="Sylfaen"/>
          <w:sz w:val="16"/>
          <w:szCs w:val="16"/>
        </w:rPr>
        <w:t>ու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արոտատեղամասերի</w:t>
      </w:r>
      <w:bookmarkEnd w:id="20"/>
      <w:bookmarkEnd w:id="21"/>
    </w:p>
    <w:p w:rsidR="002F010F" w:rsidRPr="00FF72FC" w:rsidRDefault="002F010F" w:rsidP="002F010F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Թառաթումբ բնակավայրի վարչական տարածքում պայմանավորված ծովի մակարդակից բարձրությամբ և տեղադիրքով առանձնացվել են արոտատեղամասերի տեղաբաշխման 3 հիմնական լանդշաֆտային գոտիներ: Ներկայացնենք լանդշաֆտային գոտիների տարբեր հատվածներում առանձնացված արոտների արածեցման կարգի որոշ առանձնահատկություններ: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Պայմանավորված աշխարհագրական տեղադիրքով և կենսակլիմայական պայմաններով, բնակավայրի պայմաններում խոշոր եղջերավորի արոտային շրջանը կազմում է շուրջ 195 օր (ապրիլի երրորդ տասնօրյակից մինչև նոյեմբերի առաջին տասնօրյակը), իսկ մանր եղջերավորի (ոչխարի) արոտային շրջանը կազմում է 260 օր (մարտի երկրորդ տասնօրյակից մինչև դեկտեմբերի առաջին տասնօրյակը, </w:t>
      </w:r>
    </w:p>
    <w:p w:rsidR="002F010F" w:rsidRPr="00FF72FC" w:rsidRDefault="002F010F" w:rsidP="002F010F">
      <w:pPr>
        <w:spacing w:line="360" w:lineRule="auto"/>
        <w:ind w:firstLine="720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Լեռնատափաստանային գոտում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խոշոր եղջերավոր անասունների արածեցումը սկսվում է ապրիլի երրորդ տասնօրյակից: Սովորաբար այս արոտատեղամասերում կազմակերպվում է վաղ գարնանային արոտային շրջանը: Աշնանային ժամանակահատվածում, մինջև մսուրային շրջանին անցնելը, որոշ արոտատեղամասեր կրկնակի անգամ օգտագործվում են: Ներկայում այս արոտատեղամասերում արոտօգտագործումն իրականացվում է անհավասարաչափ և անկանոն: </w:t>
      </w:r>
    </w:p>
    <w:p w:rsidR="002F010F" w:rsidRPr="00FF72FC" w:rsidRDefault="002F010F" w:rsidP="002F010F">
      <w:pPr>
        <w:spacing w:line="360" w:lineRule="auto"/>
        <w:ind w:firstLine="720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FF72FC">
        <w:rPr>
          <w:rFonts w:ascii="Sylfaen" w:hAnsi="Sylfaen"/>
          <w:b/>
          <w:bCs w:val="0"/>
          <w:spacing w:val="0"/>
          <w:sz w:val="16"/>
          <w:szCs w:val="16"/>
        </w:rPr>
        <w:t xml:space="preserve">Մերձալպյան լեռնամարգագետնային </w:t>
      </w: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գոտում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տարածված են</w:t>
      </w:r>
      <w:r w:rsidRPr="00FF72FC">
        <w:rPr>
          <w:rFonts w:ascii="Sylfaen" w:hAnsi="Sylfaen"/>
          <w:bCs w:val="0"/>
          <w:spacing w:val="0"/>
          <w:sz w:val="16"/>
          <w:szCs w:val="16"/>
        </w:rPr>
        <w:t xml:space="preserve"> արոտների ընդարձակ տարածքներ </w:t>
      </w:r>
      <w:r w:rsidRPr="00FF72FC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50.82</w:t>
      </w:r>
      <w:r w:rsidRPr="00FF72FC">
        <w:rPr>
          <w:rFonts w:ascii="Times Armenian" w:hAnsi="Times Armenian"/>
          <w:bCs w:val="0"/>
          <w:color w:val="auto"/>
          <w:spacing w:val="0"/>
          <w:sz w:val="16"/>
          <w:szCs w:val="16"/>
        </w:rPr>
        <w:t>%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) 557.76 հա: Այս գոտու առավել ցածրադիր հատվածները օգտագործվում են տափաստանային գոտու արոտների օգտագործման հետ ժամանակահատվածում ստացիոնար եղանակով, իսկ առավել բարձրադիր և հեռու հատվածներն օգտագործվում են հեռագնա սեզոնային պահվածքի կազմակերպումով: </w:t>
      </w:r>
    </w:p>
    <w:p w:rsidR="002F010F" w:rsidRPr="00FF72FC" w:rsidRDefault="002F010F" w:rsidP="002F010F">
      <w:pPr>
        <w:spacing w:line="360" w:lineRule="auto"/>
        <w:ind w:firstLine="720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Ալպյան բարձր լեռնային գոտում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տարածվում են արոտավայրերի փոքր տարածքներ, որոնք կազմում են բնակավայրի արոտային ֆոնդի 14.49%-ը (158.98 հա): Այս գոտու արոտների որոշ հատվածները` հատկապես ցածրադիր մասերը օգտագործվում են հեռագնա ճամբարային պահվածքով (Հունիսի երկրորդ տասնօրյակից մինչև սեպտեմբերի երկրորդ տասնօրյակը), մասնավորապես այլ համայնքներից վարձակալական հիմունքներով մանր եղջերավորի ամառային արոտային ժամանակահատվածը կազմակերպելու համար: Պայմանավորված հեռագնա պահվածք կազմակերպելուն անհրաժեշտ ենթակառուցվածքների բացակայությամբ, այս գոտու առավել բարձրադիր և հեռավոր հատվածները հիմնականում չեն օգտագործվում, առավելապես օգտագործվում են համեմատաբար ցածրադիր և ջրելատեղերին առավել մոտ արոտավայրերը: Արոտատեղամասերում կայուն հեռագնա արոտօգտագործում իրականացնելու համար, անհրաժեշտ է նոր ենթակառուցվածքների ստեղծումը, քանի, որ նախկինում կառուցված ենթակառուցվածքներն հիմնականում քայքայվել և օգտագործման պիտանելիություն չունեն: Գտնում ենք, որ արոտավայրերում հեռագնա կայուն արոտօգտագործում իրականացնելու համար անհրաժեշտ է կենդանիների գիշերակացի համար նոր մակատեղի կառուցումը, ինչով և ապահովվելու է այս գոտու արոտավայրերի կայուն օգտագործումն:   </w:t>
      </w:r>
    </w:p>
    <w:p w:rsidR="002F010F" w:rsidRPr="00FF72FC" w:rsidRDefault="002F010F" w:rsidP="002F010F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Աշնանային ժամանակահատվածում, մինչև մսուրային շրջանին անցնելը, պայմանավորված բարձրադիր արոտավայրերում կլիմայական հնարավոր անբարենպաստ պայմաններով, արոտակերի ապահովման համար որոշակի ժամանակահատված օգտագործվում են նաև այլընտրանքային կերապահովման տարածքների` բերքահավաք կատարած վարելահողերի, բնական խոտհարքների ինչպես նաև այլ հողատեսքերի մնացորդային խոզանն, վերաճած ահլուկն ու բուսածածկը:</w:t>
      </w:r>
    </w:p>
    <w:p w:rsidR="002F010F" w:rsidRPr="00FF72FC" w:rsidRDefault="002F010F" w:rsidP="002F010F">
      <w:pPr>
        <w:spacing w:line="408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Որպես արոտակերի ապահովման այլընտրանքային միջոց, արոտի նպատակով օգտագործվում են նաև 680.78 հա այլ հողատեսքերի որոշ հատվածների բուսածածկը:</w:t>
      </w:r>
    </w:p>
    <w:p w:rsidR="002F010F" w:rsidRPr="00FF72FC" w:rsidRDefault="002F010F" w:rsidP="002F010F">
      <w:pPr>
        <w:spacing w:line="408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408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pStyle w:val="2"/>
        <w:spacing w:before="0" w:after="0"/>
        <w:jc w:val="center"/>
        <w:rPr>
          <w:rFonts w:ascii="Sylfaen" w:hAnsi="Sylfaen" w:cs="Sylfaen"/>
          <w:i w:val="0"/>
          <w:color w:val="auto"/>
          <w:sz w:val="16"/>
          <w:szCs w:val="16"/>
          <w:lang w:val="en-US"/>
        </w:rPr>
      </w:pPr>
      <w:bookmarkStart w:id="22" w:name="_Toc17795362"/>
      <w:bookmarkStart w:id="23" w:name="_Toc524700603"/>
      <w:bookmarkStart w:id="24" w:name="_Toc402354612"/>
      <w:r w:rsidRPr="00FF72FC">
        <w:rPr>
          <w:rFonts w:ascii="Sylfaen" w:hAnsi="Sylfaen"/>
          <w:i w:val="0"/>
          <w:color w:val="auto"/>
          <w:sz w:val="16"/>
          <w:szCs w:val="16"/>
        </w:rPr>
        <w:t xml:space="preserve">5.1. </w:t>
      </w:r>
      <w:r w:rsidRPr="00FF72FC">
        <w:rPr>
          <w:rFonts w:ascii="Sylfaen" w:hAnsi="Sylfaen" w:cs="Sylfaen"/>
          <w:i w:val="0"/>
          <w:color w:val="auto"/>
          <w:sz w:val="16"/>
          <w:szCs w:val="16"/>
          <w:lang w:val="en-US"/>
        </w:rPr>
        <w:t>Բնակավայրի</w:t>
      </w:r>
      <w:r w:rsidRPr="00FF72FC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արոտների</w:t>
      </w:r>
      <w:r w:rsidRPr="00FF72F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FF72F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խոտհարքների</w:t>
      </w:r>
      <w:r w:rsidRPr="00FF72F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բուսածածկ</w:t>
      </w:r>
      <w:r w:rsidRPr="00FF72FC">
        <w:rPr>
          <w:rFonts w:ascii="Sylfaen" w:hAnsi="Sylfaen" w:cs="Sylfaen"/>
          <w:i w:val="0"/>
          <w:color w:val="auto"/>
          <w:sz w:val="16"/>
          <w:szCs w:val="16"/>
          <w:lang w:val="en-US"/>
        </w:rPr>
        <w:t>ն</w:t>
      </w:r>
      <w:r w:rsidRPr="00FF72FC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  <w:lang w:val="en-US"/>
        </w:rPr>
        <w:t>ու</w:t>
      </w:r>
      <w:r w:rsidRPr="00FF72FC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բերքատվության</w:t>
      </w:r>
      <w:r w:rsidRPr="00FF72F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ցուցանիշները</w:t>
      </w:r>
      <w:bookmarkEnd w:id="22"/>
      <w:bookmarkEnd w:id="23"/>
      <w:bookmarkEnd w:id="24"/>
    </w:p>
    <w:p w:rsidR="002F010F" w:rsidRPr="00FF72FC" w:rsidRDefault="002F010F" w:rsidP="002F010F">
      <w:pPr>
        <w:rPr>
          <w:sz w:val="16"/>
          <w:szCs w:val="16"/>
          <w:lang w:eastAsia="x-none"/>
        </w:rPr>
      </w:pPr>
    </w:p>
    <w:p w:rsidR="002F010F" w:rsidRPr="00FF72FC" w:rsidRDefault="002F010F" w:rsidP="002F010F">
      <w:pPr>
        <w:spacing w:line="408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Արոտավայրերում և բնական խոտհարքներում դաշտային հետազոտություններն (գնահատման նպատակով) իրականացվել են ըստ Գերմանիայի միջազգային համագործակցության ընկերության (ԳՄՀԸ) կողմից իրականացվող «Կենսաբազմազանության կայուն կառավարում, Հարավային Կովկաս» ծրագրի շրջանակներում մշակված «Ամառային արոտների մշտադիտարկման ձեռնարկ Հայաստան»-ի մեթոդաբանության, ինչպես նաև ըստ Կոլորադոյի գիտության և տեխնոլոգիայի ազգային կենտրոնի` տարածքների կառավարման բյուրոյի կողմից մշակված “Էկոլոգիական տեղանքների նկարագրություն տեխնիկական հանձնարարականների (Technical Reference 1737-7 of Ecologial site Inventory,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Colorado, 2001, NSTC, BLM)”, հաշվի են առնվել նաև “Արոտավայրերի և խոտհարքների օգտագործման” կանոնակարգի վերաբերյալ ՀՀ Կառավարության 2011թ. </w:t>
      </w:r>
      <w:proofErr w:type="gramStart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ապրիլի</w:t>
      </w:r>
      <w:proofErr w:type="gramEnd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14-ի N 389-ն որոշման հիմնական դրույթները: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Արածեցման ազդեցությունը արոտավայրերի բուսածածկի վրա գնահատելու նպատակով համեմատվել են լանդշաֆտային գոտու մաքուր բուսածածկերի միջին տոկոսը (հանվել են քարքարոտ տարածքները, ժայռերը, ձորակները, թփերի զբաղեցրած տարածքը, ճանապարհները և այլն), տարածքների պոտենցիալ արդյունավետությունը և արածեցման թողած ազդեցության չափը:    </w:t>
      </w:r>
    </w:p>
    <w:p w:rsidR="002F010F" w:rsidRPr="00FF72FC" w:rsidRDefault="002F010F" w:rsidP="002F010F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5 </w:t>
      </w:r>
    </w:p>
    <w:p w:rsidR="002F010F" w:rsidRPr="00FF72FC" w:rsidRDefault="002F010F" w:rsidP="002F010F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Բուսածածկի տոկոսը և արածեցման ազդեցությունը կենսազանգվածի ելքի վրա գոտու պայմաններում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3"/>
        <w:gridCol w:w="1560"/>
        <w:gridCol w:w="1417"/>
        <w:gridCol w:w="1559"/>
        <w:gridCol w:w="2126"/>
      </w:tblGrid>
      <w:tr w:rsidR="002F010F" w:rsidRPr="00FF72FC" w:rsidTr="002F010F">
        <w:trPr>
          <w:cantSplit/>
          <w:trHeight w:val="4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Արոտի</w:t>
            </w:r>
          </w:p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վիճակ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Բարձրու</w:t>
            </w: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թյուն, 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Բուսածածկ,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vertAlign w:val="superscript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Բերքատվություն, կգ/հա</w:t>
            </w:r>
          </w:p>
        </w:tc>
      </w:tr>
      <w:tr w:rsidR="002F010F" w:rsidRPr="00FF72FC" w:rsidTr="002F010F">
        <w:trPr>
          <w:cantSplit/>
          <w:trHeight w:val="337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276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Լեռնատափաստանային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1600-2300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1450</w:t>
            </w:r>
          </w:p>
        </w:tc>
      </w:tr>
      <w:tr w:rsidR="002F010F" w:rsidRPr="00FF72FC" w:rsidTr="002F010F">
        <w:trPr>
          <w:cantSplit/>
          <w:trHeight w:val="337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420</w:t>
            </w:r>
          </w:p>
        </w:tc>
      </w:tr>
      <w:tr w:rsidR="002F010F" w:rsidRPr="00FF72FC" w:rsidTr="002F010F">
        <w:trPr>
          <w:cantSplit/>
          <w:trHeight w:val="201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276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2300-2700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1710</w:t>
            </w:r>
          </w:p>
        </w:tc>
      </w:tr>
      <w:tr w:rsidR="002F010F" w:rsidRPr="00FF72FC" w:rsidTr="002F010F">
        <w:trPr>
          <w:cantSplit/>
          <w:trHeight w:val="218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550</w:t>
            </w:r>
          </w:p>
        </w:tc>
      </w:tr>
      <w:tr w:rsidR="002F010F" w:rsidRPr="00FF72FC" w:rsidTr="002F010F">
        <w:trPr>
          <w:cantSplit/>
          <w:trHeight w:val="201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276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Ալպյան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2700-3100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1670</w:t>
            </w:r>
          </w:p>
        </w:tc>
      </w:tr>
      <w:tr w:rsidR="002F010F" w:rsidRPr="00FF72FC" w:rsidTr="002F010F">
        <w:trPr>
          <w:cantSplit/>
          <w:trHeight w:val="217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keepLines/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keepLines/>
              <w:spacing w:line="276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600</w:t>
            </w:r>
          </w:p>
        </w:tc>
      </w:tr>
    </w:tbl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Արոտների և խոտհարքների արտադրողականության և արդյունավետության որոշման համար, ըստ միատարության չափանիշների ընտրված արոտային և խոտհարքային տեղամասերից վերցվել են բուսական նմուշներ, օգտագործելով 10000 սմ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2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-ոց “մետրովկաներ”, որոշվել է դրանց թաց և չոր կշիռը: Առանձնացվել են հիմնական մարգագետնային բուսախմբերը (հացազգի, բակլազգի, տարախոտ և վնասակար ու թունավոր), որոշվել հիմնական տեսակները, ինչպես նաև բուսաբանատնտեսական խմբավորումների պարունակության տոկոսը: Ըստ բուսական նմուշի չոր կշռի, առկա բուսախմբակցությունների և տեսակային կազմերի վերաճի հնարավորու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թյան, հաշվարկվել և ճշգրտվել են ողջ վեգետացիոն ժամանակահատվածում միավոր մակերեսների (1 հա) հնարավոր բերքատվության ցուցանիշները յուրաքանչյուր բնական գոտու պայմաններում:    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Լեռնատափաստանային գոտու արոտավայրերի բուսածածկում` 55.6 % կազմել են դաշտավլուկազգիները, 36.0 % տարախոտեր, 8.4 % բակլազգիներ, </w:t>
      </w:r>
      <w:proofErr w:type="gramStart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</w:t>
      </w:r>
      <w:proofErr w:type="gramEnd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է դաշտավլուկազգի-տարախոտային տափաստանային բուսակացք: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Մերձալպյան գոտու արոտավայրերի բուսածածկում` 57.2 % կազմել են դաշտավլուկազգիները, 30.3 % տարախոտեր, 12.5 % բակլազգիներ, </w:t>
      </w:r>
      <w:proofErr w:type="gramStart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</w:t>
      </w:r>
      <w:proofErr w:type="gramEnd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է դաշտավլուկազգի-տարախոտաբակլազգի մերձալպյան բարձրախոտային բուսակացք: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Ալպյան գոտու արոտավայրերի բուսածածկում` 63.8 % կազմել են դաշտավլուկազգիները, 28.2% տարախոտեր, 8.0 % բակլազգիներ, ձևավորված է դաշտավլուկազգի- տարախոտաբակլազգի լեռնամարգագետնային բուսակացք: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Ինչպես երևում է (աղյուսակ 5), հողի խոտաբույսերով բուսապատվածության աստիճանը չարածեցված տարածքներում տատանվել է 74-83 %-ի սահմաններում, իսկ արածեցված տարածքներում 48-58 %, ընդ որում ամենացածր ցուցանիշ գրանցվել է մասամբ դեգրադացված, բնակավայրամերձ հատվածի ցածրադիր արոտատեղամասերում: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Հարկ է նշել, որ բնակավայրամերձ արոտների բուսապատվածության տոկոսի հաշվարկման ժամանակ հաշվի չեն առնվել առկա բուսազուրկ նախրաքաշերը և մերկ արահետները, որոնք զգալի տոկոս են կազմում որոշ արոտավայրերում: ՈՒսումնասիրություններով պարզվել է, որ արածեցված արոտներում մնացորդային չոր բուսազանգվածի կշիռը կազմում է ձևավորվող բերքի շուրջ 1/3-մասը: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վարչական տարածքում հաշվառված բնական խոտհարքներում ուսումնասիրվել և գնահատվել է ընդհանուր բուսապատվածությունն ու բուսածածկի բուսաբանական տեսակների կազմը, հաշվարկվել է ընդհանուր բերքատվությունը:</w:t>
      </w:r>
    </w:p>
    <w:p w:rsidR="002F010F" w:rsidRPr="00FF72FC" w:rsidRDefault="002F010F" w:rsidP="002F010F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6</w:t>
      </w:r>
    </w:p>
    <w:p w:rsidR="002F010F" w:rsidRPr="00FF72FC" w:rsidRDefault="002F010F" w:rsidP="002F010F">
      <w:pPr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Խոտհարքների բուսածածկի բուսաբանատնտեսական խմբավորումներն ու արտադրողականությունը</w:t>
      </w:r>
    </w:p>
    <w:tbl>
      <w:tblPr>
        <w:tblW w:w="949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5"/>
        <w:gridCol w:w="1275"/>
        <w:gridCol w:w="1275"/>
        <w:gridCol w:w="1274"/>
        <w:gridCol w:w="1417"/>
        <w:gridCol w:w="1558"/>
        <w:gridCol w:w="1421"/>
      </w:tblGrid>
      <w:tr w:rsidR="002F010F" w:rsidRPr="00FF72FC" w:rsidTr="002F010F">
        <w:trPr>
          <w:cantSplit/>
          <w:trHeight w:val="268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Տարածքը, </w:t>
            </w:r>
          </w:p>
          <w:p w:rsidR="002F010F" w:rsidRPr="00FF72FC" w:rsidRDefault="002F010F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հա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Բուսա-ծածկ, </w:t>
            </w: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Բուսաբանական միջին կազմը, </w:t>
            </w: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ՉԶ-ի միջին բերքը, կգ/հա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Համախառն բերքը, կգ </w:t>
            </w:r>
          </w:p>
        </w:tc>
      </w:tr>
      <w:tr w:rsidR="002F010F" w:rsidRPr="00FF72FC" w:rsidTr="002F010F">
        <w:trPr>
          <w:cantSplit/>
          <w:trHeight w:val="64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Հացազգի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Բակլազգի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Տարախոտ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</w:tr>
      <w:tr w:rsidR="002F010F" w:rsidRPr="00FF72FC" w:rsidTr="002F010F">
        <w:trPr>
          <w:cantSplit/>
          <w:trHeight w:val="417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Զ =1քմ ՉԶ x 1հա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Է = Ա x Զ</w:t>
            </w:r>
          </w:p>
        </w:tc>
      </w:tr>
      <w:tr w:rsidR="002F010F" w:rsidRPr="00FF72FC" w:rsidTr="002F010F">
        <w:trPr>
          <w:cantSplit/>
          <w:trHeight w:val="64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145.98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62.6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23.4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2000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291960</w:t>
            </w:r>
          </w:p>
        </w:tc>
      </w:tr>
    </w:tbl>
    <w:p w:rsidR="002F010F" w:rsidRPr="00FF72FC" w:rsidRDefault="002F010F" w:rsidP="002F010F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– 1հա-ի միջին բերքը հաշվարկվել է հիմնվելով 1քմ հաշվարկային տարածքներից ստացված միջին նմուշի չոր զանգվածի (ՉԶ) կշռին: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6-ում ներկայացված է բնական խոտհարքների միջին բուսապատվածությունը, ձևավորվող բուսածածկերի բուսաբանական միջին կազմը, ինչպես նաև միջին բերքատվությունն ու համախառն բերքը: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Խոտհարքային տարածքներից վերցված բուսածածկի նմուշներում բուսաբանական խմբակցությունների պարզաբանում-հաշվարկով պարզվել է, որ բուսածածկերում բավականին բարձր է տարախոտային տեսակների պարունակությունը (23.4%), որոնց մեջ զգալի է կոպիտ և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վատորակ տեսակների քանակությունը, ինչով պայմանավորված խոտի որակը բարձր չէ: Բուսազանգվածում համեմատաբար ցածր է բակլազգիների միջին պարունակությունը (12.0%): Խնդիրը առավելապես պայմանավորված է խոտհարքների անկանոն կառավարմամբ, տարիներ շարունակ նույն ժամկետներում իրականացվող խոտհունձով կրճատվել է սերմերով բազմացող տեսակների ինքնացանությամբ վերարտադրման հնարավորությունը: Խոտհարքների արտադրողականությունը բարձրացնելու և որակական կազմը բարելավելու համար, անհրաժեշտ է տարբեր խոտհարքաբաժիններում բարձրորակ կերաբույսերի (դաշտավլուկազգի, բակլազգի) հասունացման տարբեր փուլերում հարի ժամկետների սահմանումը խոտհարքաշրջանառության իրականացումով, ապահովելու համար ժամանակ առ ժամանակ կերաբույսերի սերմերի հասունացումն ու միջավայրում տարածումը: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Բնակավայրի բնական արոտներում և խոտհարքներում գերակշիռ մեծամասնություն կազմում են դաշտավլուկազգի և տարախոտային տեսակները, որպես կանոն բակլազգիները համեմատաբար սակավ են: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Առավել տարածված բույսեր են` Dactylis glomerata, Phleum pratense, Poa pratense, Festuca ovina, Festuca pratense, Lotus corniculatus, Lotus pratense, Thimus, Achillea millefolium </w:t>
      </w:r>
      <w:hyperlink r:id="rId25" w:history="1">
        <w:r w:rsidRPr="00FF72FC">
          <w:rPr>
            <w:rStyle w:val="a3"/>
            <w:rFonts w:ascii="Sylfaen" w:hAnsi="Sylfaen"/>
            <w:bCs w:val="0"/>
            <w:color w:val="auto"/>
            <w:spacing w:val="0"/>
            <w:sz w:val="16"/>
            <w:szCs w:val="16"/>
          </w:rPr>
          <w:t>L.</w:t>
        </w:r>
      </w:hyperlink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, Taraxacum officinale, Astragalus galegiformis, Trifolium medium, Tr. pratense, Tr. repens, O. transcaucasica, Vicia angustifolia, Pyrethhrum myriophyllum, Carduus acanthoides և այլն: Բարձրարժեք բակլազգի տեսակները համեմատաբար սակավ են, մասնավորապես ցածրադիր գոտու դեգրադացված արոտներում: Վերջիններիս առավել տարածվածություն գրանցվել է լեռնանտառայի գոտու անտառամերձ հատվածներում և մերձալպյան գոտու առավել ցածրադիր արոտներում: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pStyle w:val="2"/>
        <w:spacing w:before="0" w:after="0"/>
        <w:jc w:val="center"/>
        <w:rPr>
          <w:rFonts w:ascii="Sylfaen" w:hAnsi="Sylfaen" w:cs="Sylfaen"/>
          <w:i w:val="0"/>
          <w:color w:val="auto"/>
          <w:sz w:val="16"/>
          <w:szCs w:val="16"/>
          <w:lang w:val="en-US"/>
        </w:rPr>
      </w:pPr>
      <w:bookmarkStart w:id="25" w:name="_Toc17795363"/>
      <w:bookmarkStart w:id="26" w:name="_Toc524700604"/>
      <w:bookmarkStart w:id="27" w:name="_Toc402354613"/>
      <w:r w:rsidRPr="00FF72FC">
        <w:rPr>
          <w:rFonts w:ascii="Sylfaen" w:hAnsi="Sylfaen"/>
          <w:i w:val="0"/>
          <w:color w:val="auto"/>
          <w:sz w:val="16"/>
          <w:szCs w:val="16"/>
        </w:rPr>
        <w:t xml:space="preserve">5.2.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Արոտավայրերի</w:t>
      </w:r>
      <w:r w:rsidRPr="00FF72F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կառավարման</w:t>
      </w:r>
      <w:r w:rsidRPr="00FF72F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FF72F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անասնապահության</w:t>
      </w:r>
      <w:r w:rsidRPr="00FF72F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զարգացման</w:t>
      </w:r>
      <w:r w:rsidRPr="00FF72F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նախադրյալները</w:t>
      </w:r>
      <w:bookmarkEnd w:id="25"/>
      <w:bookmarkEnd w:id="26"/>
      <w:bookmarkEnd w:id="27"/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28" w:name="_Toc275304875"/>
      <w:bookmarkStart w:id="29" w:name="_Toc275297860"/>
      <w:bookmarkStart w:id="30" w:name="_Toc275295647"/>
      <w:bookmarkStart w:id="31" w:name="_Toc275133835"/>
      <w:bookmarkStart w:id="32" w:name="_Toc275133472"/>
      <w:bookmarkStart w:id="33" w:name="_Toc275133426"/>
      <w:bookmarkStart w:id="34" w:name="_Toc275133066"/>
      <w:bookmarkStart w:id="35" w:name="_Toc275132918"/>
      <w:bookmarkStart w:id="36" w:name="_Toc275132640"/>
      <w:bookmarkStart w:id="37" w:name="_Toc275132410"/>
      <w:bookmarkStart w:id="38" w:name="_Toc275132145"/>
      <w:bookmarkStart w:id="39" w:name="_Toc275131586"/>
      <w:bookmarkStart w:id="40" w:name="_Toc76376824"/>
      <w:bookmarkStart w:id="41" w:name="_Toc76375841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Բնակավայրամերձ արոտավայրերում, որտեղ աշնանը գրեթե մինչև կայուն ցուրտ եղանակի ձևավորվելը պահվում են արածող կենդանիները, օգտագործվում է կրկնակի անգամ, և որպես կանոն ուշադրություն չի դարձվում բուսածածկի մնացորդային խոզանի պահպանմանը, այսինքն նման տարածքներն գերարածեցվում են նպաստելով բուսածածկի դեգրադացիայի ձևավորման և նրա հետագա խորացմանը: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որակը, նվազում է հանդակի արտադրողականությունը, կրճատվում բուսապատվածությունը և հիմք է ստեղծվում դեգրադացիայի խորանալու և հողերի էրոզիայի համար, մեծանում ընդհանուր կենսաբազմազանության վտանգմանն ուղղված ռիսկերը: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Մոտավորապես այդ իրավիճակն է տիրում բնակավայրին հարակից ուսումնասիրված տարբեր արոտներում և հատկապես լեռնաանտառային գոտում: Այս երևույթի խորացումը կանխելու համար անհրաժեշտ է կիրառել արոտօգտագործման նոր համակարգ, ըստ որի օգտագործվող արոտում բուսածածկի որոշակի մասը պետք է թողնել որպես խոզան, որը սինթեզում է սննդատարրեր, որոնք անհրաժեշտ են խոտաբույսերի հետագա վերաճի և ձմեռային հանգստի համար: Այս գոտու որոշ դեգրադացված արոտատեղեր նպատակահարմար է թողնել հանգստի (առանց արածեցման 1-2 տարի), կիրառել արոտաշրջանառություն, բուսածածկի և բուսաբանական կազմի վերականգման նպատակով: Քանի որ արոտների օգտագործման չափանիշները հիմնվում են բույսերի ֆենոլոգիական փուլերի ուսումնասիրու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թյուն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ների, տեղի կլիմայի և արածեցման նկատմամբ բուսածածկի դիմադրո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ղականության գնահատման վրա, ուստի դիտարկենք արոտային համակեցությունների գոյատևման երեք հիմնական ժամանակահատվածներ, որոնք ուրույն ազդեցություն ունեն բուսածածկի հետագա ձևավորման և արդյունավետության վրա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, հետևաբար կարևոր նշանակություն ունեն նաև արոտների ֆունկցիոնալ կայունության պահպանման առումով: </w:t>
      </w:r>
    </w:p>
    <w:p w:rsidR="002F010F" w:rsidRPr="00FF72FC" w:rsidRDefault="002F010F" w:rsidP="002F010F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42" w:name="_Toc76376825"/>
      <w:bookmarkStart w:id="43" w:name="_Toc76375842"/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Աշուն/ձմեռ: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Հանգստի այս փուլում գտնվող միամյա և բազմամյա խոտաբույսերը կարող են բարձր բերք ապահովել, եթե արածեցման ընթացքում բույսերը արմատախիլ չարվեն կամ ուժեղ տրորման հետևանքով տեղի չունենա հողերի պնդացում և մերկացում: Հիմնականում այս ժամանակահատվածից է կախված հետագա ձևավորվող բուսազանգվածի մինչև 70%-ի ստացումը</w:t>
      </w:r>
      <w:bookmarkEnd w:id="42"/>
      <w:bookmarkEnd w:id="43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:</w:t>
      </w:r>
    </w:p>
    <w:p w:rsidR="002F010F" w:rsidRPr="00FF72FC" w:rsidRDefault="002F010F" w:rsidP="002F010F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44" w:name="_Toc76376826"/>
      <w:bookmarkStart w:id="45" w:name="_Toc76375843"/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Վաղ գարուն: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Ձմեռվա հանգստի շրջանում բույսերը ծախսում են պաշարված սննդանյութերի մեծ մասը: Այս ժամանակահատվածում` զով և խոնավ կլիմայի պայմաններում, խոտաբույսերը սկսում են ինտենսիվորեն աճել և ֆոտոսինթեզի շնորհիվ վերականգնել ածխաջրերի, սպիտակուցների և այլ սննդանյութերի անհրաժեշտ պաշարներ: Սա բույսերի համար զգայուն մի ժամանակաշրջան է և պահանջվում է մշակել արածեցման հատուկ համակարգ: Բացի այդ կարիք կա իրականացնել որոշ ագրոմիջոցառումներ` բույսերի աճը խթանելու նպատակով: Տարվա այս եղանակին արածեցումը չպետք է բերի բերքի (արոտականաչի) 30%-ից ավելի կորստի: Բույսերը այդ ընթացքում կարող են ապահովել ավելի բարձր արդյունավետություն, եթե արգելվի տարածքի վաղ ժամկետներում արածեցումը և կենդանիների մուտքը տվյալ տարածք, քանի դեռ հողի մեջ առկա է խոնավության որոշ պաշարներ, որոնք էլ կարող են ապահովել բույսերի բնականոն վերաճը</w:t>
      </w:r>
      <w:bookmarkEnd w:id="44"/>
      <w:bookmarkEnd w:id="45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: </w:t>
      </w:r>
    </w:p>
    <w:p w:rsidR="002F010F" w:rsidRPr="00FF72FC" w:rsidRDefault="002F010F" w:rsidP="002F010F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Ուշ գարուն/ամառ: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Այս էտապում իհարկե խոտի աճը շարունակվում է, սակայն հողի խոնավությունը սկսում է դառնալ հիմնական սահմանափակող գործոն և ջերմաստիճանի հետագա բարձրացումը ստիպում է բույսերին անցնել պասիվ փուլի: Արոտների թույլատրելի օգտագործման չափանիշը չպետք է իջնի 70%-ի մակարդակից, որպեսզի ապահովված լինի խոտաբույսերի հետագա ահլուկավորման և վերաճելու հնարավորությունները: Այս ժամանակա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հատվածում ձևավորվում է բերքի հիմնական մասը: </w:t>
      </w:r>
    </w:p>
    <w:p w:rsidR="002F010F" w:rsidRPr="00FF72FC" w:rsidRDefault="002F010F" w:rsidP="002F010F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pStyle w:val="1"/>
        <w:spacing w:before="0" w:after="0" w:line="276" w:lineRule="auto"/>
        <w:jc w:val="center"/>
        <w:rPr>
          <w:rFonts w:ascii="Sylfaen" w:hAnsi="Sylfaen" w:cs="Sylfaen"/>
          <w:sz w:val="16"/>
          <w:szCs w:val="16"/>
        </w:rPr>
      </w:pPr>
      <w:bookmarkStart w:id="46" w:name="_Toc17795364"/>
      <w:bookmarkStart w:id="47" w:name="_Toc524700605"/>
      <w:bookmarkStart w:id="48" w:name="_Toc402354614"/>
      <w:r w:rsidRPr="00FF72FC">
        <w:rPr>
          <w:rFonts w:ascii="Sylfaen" w:hAnsi="Sylfaen"/>
          <w:sz w:val="16"/>
          <w:szCs w:val="16"/>
        </w:rPr>
        <w:t xml:space="preserve">6. </w:t>
      </w:r>
      <w:r w:rsidRPr="00FF72FC">
        <w:rPr>
          <w:rFonts w:ascii="Sylfaen" w:hAnsi="Sylfaen" w:cs="Sylfaen"/>
          <w:sz w:val="16"/>
          <w:szCs w:val="16"/>
        </w:rPr>
        <w:t>Չոր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կենսազանգվածի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կուտակման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հնարավորությունն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ըստ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բնակլիմայական</w:t>
      </w:r>
      <w:r w:rsidRPr="00FF72FC">
        <w:rPr>
          <w:rFonts w:ascii="Sylfaen" w:hAnsi="Sylfaen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գոտիների</w:t>
      </w:r>
      <w:bookmarkEnd w:id="46"/>
      <w:bookmarkEnd w:id="47"/>
      <w:bookmarkEnd w:id="48"/>
    </w:p>
    <w:p w:rsidR="002F010F" w:rsidRPr="00FF72FC" w:rsidRDefault="002F010F" w:rsidP="002F010F">
      <w:pPr>
        <w:rPr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lastRenderedPageBreak/>
        <w:t>Խոզանի բարձրության հաշվարկ: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Ուսումնասիրությունների հիմնական խնդիրներից է եղել պարզել բնակավայրի վարչական տարածքում հաշվառված կերահանդակների պոտենցիալ հնարավո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րությունը (արածեցման սխեմաներ մշակելու համար), հաշվի առնելով մի շարք գործոններ, այդ թվում նաև խոզանի բարձրությունը (աղ.7):  </w:t>
      </w:r>
    </w:p>
    <w:p w:rsidR="002F010F" w:rsidRPr="00FF72FC" w:rsidRDefault="002F010F" w:rsidP="002F010F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</w:t>
      </w:r>
    </w:p>
    <w:p w:rsidR="002F010F" w:rsidRPr="00FF72FC" w:rsidRDefault="002F010F" w:rsidP="002F010F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Աղյուսակ 7 </w:t>
      </w:r>
    </w:p>
    <w:p w:rsidR="002F010F" w:rsidRPr="00FF72FC" w:rsidRDefault="002F010F" w:rsidP="002F010F">
      <w:pPr>
        <w:spacing w:line="360" w:lineRule="auto"/>
        <w:jc w:val="center"/>
        <w:rPr>
          <w:rFonts w:ascii="Sylfaen" w:hAnsi="Sylfaen"/>
          <w:color w:val="auto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Թառաթումբ բնակավայրի արոտավայրերի խոզանի բարձրությունն ըստ գոտիների</w:t>
      </w:r>
    </w:p>
    <w:tbl>
      <w:tblPr>
        <w:tblW w:w="0" w:type="auto"/>
        <w:jc w:val="center"/>
        <w:tblInd w:w="-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6"/>
        <w:gridCol w:w="4222"/>
      </w:tblGrid>
      <w:tr w:rsidR="002F010F" w:rsidRPr="00FF72FC" w:rsidTr="002F010F">
        <w:trPr>
          <w:cantSplit/>
          <w:trHeight w:val="56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Գոտիներ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Խոզանի  բարձրությունը, սմ</w:t>
            </w:r>
          </w:p>
        </w:tc>
      </w:tr>
      <w:tr w:rsidR="002F010F" w:rsidRPr="00FF72FC" w:rsidTr="002F010F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Տափաստանային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10-12</w:t>
            </w:r>
          </w:p>
        </w:tc>
      </w:tr>
      <w:tr w:rsidR="002F010F" w:rsidRPr="00FF72FC" w:rsidTr="002F010F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10-12</w:t>
            </w:r>
          </w:p>
        </w:tc>
      </w:tr>
      <w:tr w:rsidR="002F010F" w:rsidRPr="00FF72FC" w:rsidTr="002F010F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Ալպյան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8-10</w:t>
            </w:r>
          </w:p>
        </w:tc>
      </w:tr>
    </w:tbl>
    <w:p w:rsidR="002F010F" w:rsidRPr="00FF72FC" w:rsidRDefault="002F010F" w:rsidP="002F010F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«Արոտների և խոտհարքների օգտագործման կարգի» վերաբերյալ ՀՀ Կառավարության 2011թ № 389-ն որոշման համաձայն, կենդանիների արածեցումը պետք է սկսել գարնանը, բույսերի վերաճը սկսելուց 15-18 օր հետո և երբ բույսերի բարձրությունը հողի մակերեսից կազմում է` </w:t>
      </w:r>
    </w:p>
    <w:p w:rsidR="002F010F" w:rsidRPr="00FF72FC" w:rsidRDefault="002F010F" w:rsidP="002F010F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Տափաստանային գոտում 10 -12սմ,</w:t>
      </w:r>
    </w:p>
    <w:p w:rsidR="002F010F" w:rsidRPr="00FF72FC" w:rsidRDefault="002F010F" w:rsidP="002F010F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Մերձալպյան գոտում     10-12սմ,</w:t>
      </w:r>
    </w:p>
    <w:p w:rsidR="002F010F" w:rsidRPr="00FF72FC" w:rsidRDefault="002F010F" w:rsidP="002F010F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Ալպյան գոտում         8-10սմ: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Ելնելով այս հանգամանքից, ինչպես նաև Թառաթումբ բնակավայրի վարչական տարածքի լանդշաֆտային գոտիականության առանձնահատկություններից, առաջարկվում է գարնանային արածեցումը սկսել տափաստանային և մերձալպյան գոտիներում 10 սմ իսկ ալպյան գոտում 8-10 սմ խոտածածկի բարձրության առկայության պայմաններում: Հաշվի առնելով հողակլիմայական և լանդշաֆտային առանձնահատկությունները առաջարկում ենք օգտագործել աղյուսակ 7-ում բերված տվյալները: </w:t>
      </w:r>
      <w:bookmarkStart w:id="49" w:name="_Toc402354615"/>
    </w:p>
    <w:p w:rsidR="002F010F" w:rsidRPr="00FF72FC" w:rsidRDefault="002F010F" w:rsidP="002F010F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pStyle w:val="2"/>
        <w:spacing w:before="0" w:after="0"/>
        <w:jc w:val="center"/>
        <w:rPr>
          <w:rFonts w:ascii="Sylfaen" w:hAnsi="Sylfaen" w:cs="Cambria"/>
          <w:i w:val="0"/>
          <w:color w:val="auto"/>
          <w:sz w:val="16"/>
          <w:szCs w:val="16"/>
          <w:lang w:val="en-US"/>
        </w:rPr>
      </w:pPr>
      <w:bookmarkStart w:id="50" w:name="_Toc524700606"/>
      <w:bookmarkStart w:id="51" w:name="_Toc17795365"/>
      <w:r w:rsidRPr="00FF72FC">
        <w:rPr>
          <w:rFonts w:ascii="Sylfaen" w:hAnsi="Sylfaen"/>
          <w:i w:val="0"/>
          <w:color w:val="auto"/>
          <w:sz w:val="16"/>
          <w:szCs w:val="16"/>
        </w:rPr>
        <w:t xml:space="preserve">6.1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Բնակավայրի</w:t>
      </w:r>
      <w:r w:rsidRPr="00FF72FC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կերահանդակներից</w:t>
      </w:r>
      <w:r w:rsidRPr="00FF72F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FF72FC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այլընտրանքային</w:t>
      </w:r>
      <w:r w:rsidRPr="00FF72FC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կերապահով</w:t>
      </w:r>
      <w:r w:rsidRPr="00FF72FC">
        <w:rPr>
          <w:rFonts w:ascii="Sylfaen" w:hAnsi="Sylfaen" w:cs="Sylfaen"/>
          <w:i w:val="0"/>
          <w:color w:val="auto"/>
          <w:sz w:val="16"/>
          <w:szCs w:val="16"/>
          <w:lang w:val="en-US"/>
        </w:rPr>
        <w:t>-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մանտարածքներից</w:t>
      </w:r>
      <w:r w:rsidRPr="00FF72FC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ստացվող</w:t>
      </w:r>
      <w:r w:rsidRPr="00FF72FC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չոր</w:t>
      </w:r>
      <w:r w:rsidRPr="00FF72FC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զանգվածի</w:t>
      </w:r>
      <w:bookmarkStart w:id="52" w:name="_Toc402354616"/>
      <w:bookmarkEnd w:id="49"/>
      <w:r w:rsidRPr="00FF72FC">
        <w:rPr>
          <w:rFonts w:ascii="Sylfaen" w:hAnsi="Sylfaen" w:cs="Cambria"/>
          <w:i w:val="0"/>
          <w:color w:val="auto"/>
          <w:sz w:val="16"/>
          <w:szCs w:val="16"/>
          <w:lang w:val="en-US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FF72FC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արածեցման</w:t>
      </w:r>
      <w:r w:rsidRPr="00FF72FC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օրերի</w:t>
      </w:r>
      <w:r w:rsidRPr="00FF72FC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FF72FC">
        <w:rPr>
          <w:rFonts w:ascii="Sylfaen" w:hAnsi="Sylfaen" w:cs="Sylfaen"/>
          <w:i w:val="0"/>
          <w:color w:val="auto"/>
          <w:sz w:val="16"/>
          <w:szCs w:val="16"/>
        </w:rPr>
        <w:t>քանակը</w:t>
      </w:r>
      <w:bookmarkEnd w:id="50"/>
      <w:bookmarkEnd w:id="51"/>
      <w:bookmarkEnd w:id="52"/>
    </w:p>
    <w:p w:rsidR="002F010F" w:rsidRPr="00FF72FC" w:rsidRDefault="002F010F" w:rsidP="002F010F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8</w:t>
      </w:r>
    </w:p>
    <w:p w:rsidR="002F010F" w:rsidRPr="00FF72FC" w:rsidRDefault="002F010F" w:rsidP="002F010F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53" w:name="RANGE!A29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Արոտավայրերի արտադրողականությունը և առավելագույն արածեցման օրերը</w:t>
      </w:r>
      <w:bookmarkEnd w:id="53"/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2"/>
        <w:gridCol w:w="1134"/>
        <w:gridCol w:w="850"/>
        <w:gridCol w:w="1418"/>
        <w:gridCol w:w="1841"/>
        <w:gridCol w:w="1560"/>
      </w:tblGrid>
      <w:tr w:rsidR="002F010F" w:rsidRPr="00FF72FC" w:rsidTr="002F010F">
        <w:trPr>
          <w:trHeight w:val="7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Տարածք, հա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ՉԶ, կգ/հա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 ՉԶ, կգ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Հաստատագրված 70% օգտագործում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Արածեցման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օրեր**</w:t>
            </w:r>
          </w:p>
        </w:tc>
      </w:tr>
      <w:tr w:rsidR="002F010F" w:rsidRPr="00FF72FC" w:rsidTr="002F010F">
        <w:trPr>
          <w:trHeight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Դ=Բ x 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Ե=Դ x 70%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Զ=Ե/2090.1 կգ/օր</w:t>
            </w:r>
          </w:p>
        </w:tc>
      </w:tr>
      <w:tr w:rsidR="002F010F" w:rsidRPr="00FF72FC" w:rsidTr="002F010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Տափաստանային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380.68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551986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386390.2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185</w:t>
            </w:r>
          </w:p>
        </w:tc>
      </w:tr>
      <w:tr w:rsidR="002F010F" w:rsidRPr="00FF72FC" w:rsidTr="002F010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557.76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953769.6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667638.7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319</w:t>
            </w:r>
          </w:p>
        </w:tc>
      </w:tr>
      <w:tr w:rsidR="002F010F" w:rsidRPr="00FF72FC" w:rsidTr="002F010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Ալպյան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158.98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265496.6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185847.6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89</w:t>
            </w:r>
          </w:p>
        </w:tc>
      </w:tr>
      <w:tr w:rsidR="002F010F" w:rsidRPr="00FF72FC" w:rsidTr="002F010F">
        <w:trPr>
          <w:trHeight w:val="5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1097.27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1771252.2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1239876.5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593</w:t>
            </w:r>
          </w:p>
        </w:tc>
      </w:tr>
    </w:tbl>
    <w:p w:rsidR="002F010F" w:rsidRPr="00FF72FC" w:rsidRDefault="002F010F" w:rsidP="002F010F">
      <w:pPr>
        <w:spacing w:line="360" w:lineRule="auto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Ծանոթություն`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լանդշաֆտային գոտիներում արոտների բերքատվությունն ու արոտօգտագործման օրերի քանակը հաշվարկվում է հետևյալ բանաձևով` </w:t>
      </w:r>
    </w:p>
    <w:p w:rsidR="002F010F" w:rsidRPr="00FF72FC" w:rsidRDefault="002F010F" w:rsidP="002F010F">
      <w:pPr>
        <w:spacing w:line="360" w:lineRule="auto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**Արածեցման օրեր = Արոտային տարածք x միջին բերքատվություն x 70% /անասնագլխի օրեկան կերի պահանջ (2090.1):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8-ում ամփոփված են արոտավայրերի բերքատվությունն ու կենդանիների համար խոտի ներկայիս հասանելիությունն` ըստ հաստատագրված 70% օգտագործման ցուցանիշի: Ինչպես երևում է ամենաբարձր արտադրողականություն 1 հա-ի հաշվով ձևավորվել է մերձալպյան գոտու արոտավայրերից: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Մեր ուսումնասիրությունները ցույց են տվել նաև, որ ըստ արոտների հաստատագրված օգտագործման ցուցանիշի (70%), ձևավորվող չոր զանգվածի քանակությունը առկա անասնագլխի համար կարող է ապահովել շուրջ 593 օրերի համար արոտային կեր, ինչը կրկնակի և ավել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անգամ ավելի բարձր ցուցանիշ է համեմատած բնակավայրի պայմաններում ՊԽՄ-ի արոտային շրջանի համար հաշվարկած արածեցման օրերի պահանջը: Լրացուցիչ կերային զգալի պաշար պարունակում են նաև վարելահողերի և բնական խոտհարքների ազատված տարածքները (խոտհունձից հետո) վերաճած ահլուկի տեսքով, ինչպես նաև այլ հողատեսքերի բուսածածկը (աղյուսակ 9), որոնց հիման վրա որպես այլ ընտրանք հնարավոր է մինչև 330 օր կերակրել համայնքի ամբողջ անասնագլխին: Այլընտրանքային կերապահովման տարածքներն հիմնականում օգտագործվում են վաղ գարնանային և ուշ ամառային շրջանում, ինչպես նաև աշնանը մսուրային շրջանից առաջ: </w:t>
      </w:r>
    </w:p>
    <w:p w:rsidR="002F010F" w:rsidRPr="00FF72FC" w:rsidRDefault="002F010F" w:rsidP="002F010F">
      <w:pPr>
        <w:spacing w:line="360" w:lineRule="auto"/>
        <w:ind w:firstLine="720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9</w:t>
      </w:r>
    </w:p>
    <w:p w:rsidR="002F010F" w:rsidRPr="00FF72FC" w:rsidRDefault="002F010F" w:rsidP="002F010F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54" w:name="RANGE!A36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Վարելահողերից և այլ հողատեսքերից ակնկալվող կերի քանակը և առավելագույն արածեցման օրեր</w:t>
      </w:r>
      <w:bookmarkEnd w:id="54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ը</w:t>
      </w:r>
    </w:p>
    <w:tbl>
      <w:tblPr>
        <w:tblW w:w="95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1276"/>
        <w:gridCol w:w="1417"/>
        <w:gridCol w:w="1843"/>
        <w:gridCol w:w="2594"/>
      </w:tblGrid>
      <w:tr w:rsidR="002F010F" w:rsidRPr="00FF72FC" w:rsidTr="002F010F">
        <w:trPr>
          <w:cantSplit/>
          <w:trHeight w:val="217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Տեղանք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Տարածք,</w:t>
            </w:r>
          </w:p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հա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ՉԶ բերք, կգ/հա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Ընդամենը ՉԶ, կգ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Արածեցման օրեր</w:t>
            </w:r>
          </w:p>
        </w:tc>
      </w:tr>
      <w:tr w:rsidR="002F010F" w:rsidRPr="00FF72FC" w:rsidTr="002F010F">
        <w:trPr>
          <w:cantSplit/>
          <w:trHeight w:val="9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        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 = Բ x Գ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 = Դ / 2090.1 կգ/օր</w:t>
            </w:r>
          </w:p>
        </w:tc>
      </w:tr>
      <w:tr w:rsidR="002F010F" w:rsidRPr="00FF72FC" w:rsidTr="002F010F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Վարելահող+ խոտ-    </w:t>
            </w:r>
          </w:p>
          <w:p w:rsidR="002F010F" w:rsidRPr="00FF72FC" w:rsidRDefault="002F010F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հարքների խոզան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206.65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78527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37</w:t>
            </w:r>
          </w:p>
        </w:tc>
      </w:tr>
      <w:tr w:rsidR="002F010F" w:rsidRPr="00FF72FC" w:rsidTr="002F010F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Այլ հողատեսքերի    բուսածածկ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680.78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612702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293</w:t>
            </w:r>
          </w:p>
        </w:tc>
      </w:tr>
      <w:tr w:rsidR="002F010F" w:rsidRPr="00FF72FC" w:rsidTr="002F010F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887.43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691229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330</w:t>
            </w:r>
          </w:p>
        </w:tc>
      </w:tr>
    </w:tbl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վարչական տարածքում առկա արոտավայրերից և այլ ընտրանքային արոտատեղերից (աղյուսակներ՝ 8; 9) ձևավորվող արոտակերը կարող է բավարարել առկա անասնագլխի արոտակերի պահանջը 593+330=923 օր:</w:t>
      </w:r>
      <w:r w:rsidRPr="00FF72F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Արոտավայրերից ձևավորվող (70% թույլատրելի օգտագործումով) ընդհանուր չոր զանգվածի (1239876.5 կգ), ինչպես նաև արոտակերի ապահովման այլընտրանքային կերապահովման տարածքներից (691229 կգ) ձևավորվող համախառն կերային պաշարների և առկա անասնագլխին արոտային ժամանակահատվածում անհրաժեշտ (403502.9 կգ) արոտակերի պահանջի համադրումից պարզ է դառնում, որ ձևավորվող արոտակերը կարող է բավարարել առկա անասնագլխի արոտային շրջանում անհրաժեշտ կերի պահանջը շուրջ 5 և ավել անգամ 478.5%-ով: </w:t>
      </w:r>
      <w:bookmarkStart w:id="55" w:name="_Toc524700607"/>
      <w:bookmarkStart w:id="56" w:name="_Toc402354617"/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/>
          <w:bCs w:val="0"/>
          <w:sz w:val="16"/>
          <w:szCs w:val="16"/>
        </w:rPr>
        <w:t xml:space="preserve"> </w:t>
      </w:r>
      <w:r w:rsidRPr="00FF72FC">
        <w:rPr>
          <w:rFonts w:ascii="Sylfaen" w:hAnsi="Sylfaen"/>
          <w:b/>
          <w:sz w:val="16"/>
          <w:szCs w:val="16"/>
        </w:rPr>
        <w:t xml:space="preserve">6.2. </w:t>
      </w:r>
      <w:r w:rsidRPr="00FF72FC">
        <w:rPr>
          <w:rFonts w:ascii="Sylfaen" w:hAnsi="Sylfaen" w:cs="Sylfaen"/>
          <w:b/>
          <w:sz w:val="16"/>
          <w:szCs w:val="16"/>
        </w:rPr>
        <w:t>Կենդանիների</w:t>
      </w:r>
      <w:r w:rsidRPr="00FF72FC">
        <w:rPr>
          <w:rFonts w:ascii="Sylfaen" w:hAnsi="Sylfaen"/>
          <w:b/>
          <w:sz w:val="16"/>
          <w:szCs w:val="16"/>
        </w:rPr>
        <w:t xml:space="preserve"> </w:t>
      </w:r>
      <w:r w:rsidRPr="00FF72FC">
        <w:rPr>
          <w:rFonts w:ascii="Sylfaen" w:hAnsi="Sylfaen" w:cs="Sylfaen"/>
          <w:b/>
          <w:sz w:val="16"/>
          <w:szCs w:val="16"/>
        </w:rPr>
        <w:t>կերակրման</w:t>
      </w:r>
      <w:r w:rsidRPr="00FF72FC">
        <w:rPr>
          <w:rFonts w:ascii="Sylfaen" w:hAnsi="Sylfaen"/>
          <w:b/>
          <w:sz w:val="16"/>
          <w:szCs w:val="16"/>
        </w:rPr>
        <w:t xml:space="preserve"> </w:t>
      </w:r>
      <w:r w:rsidRPr="00FF72FC">
        <w:rPr>
          <w:rFonts w:ascii="Sylfaen" w:hAnsi="Sylfaen" w:cs="Sylfaen"/>
          <w:b/>
          <w:sz w:val="16"/>
          <w:szCs w:val="16"/>
        </w:rPr>
        <w:t>և</w:t>
      </w:r>
      <w:r w:rsidRPr="00FF72FC">
        <w:rPr>
          <w:rFonts w:ascii="Sylfaen" w:hAnsi="Sylfaen"/>
          <w:b/>
          <w:sz w:val="16"/>
          <w:szCs w:val="16"/>
        </w:rPr>
        <w:t xml:space="preserve"> </w:t>
      </w:r>
      <w:r w:rsidRPr="00FF72FC">
        <w:rPr>
          <w:rFonts w:ascii="Sylfaen" w:hAnsi="Sylfaen" w:cs="Sylfaen"/>
          <w:b/>
          <w:sz w:val="16"/>
          <w:szCs w:val="16"/>
        </w:rPr>
        <w:t>կերերի</w:t>
      </w:r>
      <w:r w:rsidRPr="00FF72FC">
        <w:rPr>
          <w:rFonts w:ascii="Sylfaen" w:hAnsi="Sylfaen"/>
          <w:b/>
          <w:sz w:val="16"/>
          <w:szCs w:val="16"/>
        </w:rPr>
        <w:t xml:space="preserve"> </w:t>
      </w:r>
      <w:r w:rsidRPr="00FF72FC">
        <w:rPr>
          <w:rFonts w:ascii="Sylfaen" w:hAnsi="Sylfaen" w:cs="Sylfaen"/>
          <w:b/>
          <w:sz w:val="16"/>
          <w:szCs w:val="16"/>
        </w:rPr>
        <w:t>հաշվեկշիռ</w:t>
      </w:r>
      <w:bookmarkEnd w:id="55"/>
      <w:bookmarkEnd w:id="56"/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10-ում ներկայացված են Թառաթումբ բնակավայրում հաշվառված անասնագլխի 1 տարվա կերային ռեսուրսները, արոտային և մսուրային շրջաններում առկա անասնագլխի արոտակերի և խոտի պահանջի ապահովածությունը: </w:t>
      </w:r>
    </w:p>
    <w:p w:rsidR="002F010F" w:rsidRPr="00FF72FC" w:rsidRDefault="002F010F" w:rsidP="002F010F">
      <w:pPr>
        <w:spacing w:line="360" w:lineRule="auto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Աղյուսակ 10 </w:t>
      </w:r>
    </w:p>
    <w:p w:rsidR="002F010F" w:rsidRPr="00FF72FC" w:rsidRDefault="002F010F" w:rsidP="002F010F">
      <w:pPr>
        <w:spacing w:line="360" w:lineRule="auto"/>
        <w:jc w:val="center"/>
        <w:rPr>
          <w:rFonts w:ascii="Sylfaen" w:hAnsi="Sylfaen"/>
          <w:bCs w:val="0"/>
          <w:color w:val="FF0000"/>
          <w:spacing w:val="0"/>
          <w:sz w:val="16"/>
          <w:szCs w:val="16"/>
          <w:highlight w:val="yellow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Արոտային և մսուրային շրջանների կերերով </w:t>
      </w:r>
      <w:r w:rsidRPr="00FF72FC">
        <w:rPr>
          <w:rFonts w:ascii="Sylfaen" w:hAnsi="Sylfaen"/>
          <w:bCs w:val="0"/>
          <w:color w:val="auto"/>
          <w:sz w:val="16"/>
          <w:szCs w:val="16"/>
        </w:rPr>
        <w:t>(</w:t>
      </w:r>
      <w:r w:rsidRPr="00FF72FC">
        <w:rPr>
          <w:rFonts w:ascii="Sylfaen" w:eastAsia="Times New Roman" w:hAnsi="Sylfaen" w:cs="Arial"/>
          <w:bCs w:val="0"/>
          <w:color w:val="auto"/>
          <w:spacing w:val="0"/>
          <w:sz w:val="16"/>
          <w:szCs w:val="16"/>
          <w:lang w:eastAsia="ru-RU" w:bidi="he-IL"/>
        </w:rPr>
        <w:t>ՉԶ</w:t>
      </w:r>
      <w:r w:rsidRPr="00FF72FC">
        <w:rPr>
          <w:rFonts w:ascii="Sylfaen" w:hAnsi="Sylfaen"/>
          <w:bCs w:val="0"/>
          <w:color w:val="auto"/>
          <w:sz w:val="16"/>
          <w:szCs w:val="16"/>
        </w:rPr>
        <w:t>)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ապահովածությունը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1700"/>
        <w:gridCol w:w="1418"/>
        <w:gridCol w:w="1417"/>
        <w:gridCol w:w="1842"/>
        <w:gridCol w:w="1558"/>
        <w:gridCol w:w="1233"/>
        <w:gridCol w:w="327"/>
      </w:tblGrid>
      <w:tr w:rsidR="002F010F" w:rsidRPr="00FF72FC" w:rsidTr="002F010F">
        <w:trPr>
          <w:trHeight w:val="339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Արոտային շրջան,</w:t>
            </w:r>
          </w:p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ԽԵԿ-195 օր, ՄԵԿ-260 օր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Մսուրային շրջան,</w:t>
            </w:r>
          </w:p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ԽԵԿ-170 օր, ՄԵԿ-105 օր</w:t>
            </w:r>
          </w:p>
        </w:tc>
      </w:tr>
      <w:tr w:rsidR="002F010F" w:rsidRPr="00FF72FC" w:rsidTr="002F010F">
        <w:trPr>
          <w:trHeight w:val="6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Պահանջվող կերեր, 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Առկա կերեր, 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Ապահովա</w:t>
            </w: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ծություն,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Պահանջվող</w:t>
            </w:r>
          </w:p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կերեր, (խոտ) 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Առկա կերեր, (խոտ) տ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Ապահովա</w:t>
            </w: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ծություն,%</w:t>
            </w:r>
          </w:p>
        </w:tc>
      </w:tr>
      <w:tr w:rsidR="002F010F" w:rsidRPr="00FF72FC" w:rsidTr="002F010F">
        <w:trPr>
          <w:trHeight w:val="56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Տես գլուխ 3.1, 6.1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Տես աղ. 3; 13</w:t>
            </w:r>
          </w:p>
        </w:tc>
      </w:tr>
      <w:tr w:rsidR="002F010F" w:rsidRPr="00FF72FC" w:rsidTr="002F010F">
        <w:trPr>
          <w:trHeight w:val="8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403.5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1931.1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478.5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361.3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521.9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144.4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010F" w:rsidRPr="00FF72FC" w:rsidRDefault="002F010F">
            <w:pPr>
              <w:spacing w:line="276" w:lineRule="auto"/>
              <w:rPr>
                <w:rFonts w:ascii="Sylfaen" w:hAnsi="Sylfaen"/>
                <w:color w:val="FF0000"/>
                <w:sz w:val="16"/>
                <w:szCs w:val="16"/>
                <w:highlight w:val="yellow"/>
              </w:rPr>
            </w:pPr>
          </w:p>
        </w:tc>
      </w:tr>
    </w:tbl>
    <w:p w:rsidR="002F010F" w:rsidRPr="00FF72FC" w:rsidRDefault="002F010F" w:rsidP="002F010F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Ծանոթություն – ԽԵԿ- խոշոր եղջերավոր կենդանի, ՄԵԿ- մանր եղջերավոր կենդանի: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Տվյալները ցույց են տալիս (աղ. 10), որ լանդշաֆտային գոտիների արոտներում (70% թույլատրելի օգտագործմամբ), և այլընտրանքային արոտակերի ապահովման տարածքներում միասին հաշվառված (աղ. 8+9) ձևավորվող արոտակերը կարող է բավարարել առկա անասնագլխաքանակին անհրաժեշտ արոտակերի պահանջը հինգ և ավել անգամ` 478.5 %-ով: Մսուրային շրջանի համար բնակավայրի պայմաններում կուտակվող խոտը բավարարում է ընդհանուր պահանջարկը</w:t>
      </w:r>
      <w:r w:rsidRPr="00FF72F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144.4%-ով:</w:t>
      </w:r>
      <w:r w:rsidRPr="00FF72F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Հիմնվելով բնակավայրի պայմաններում արոտային, ինչպես նաև մսուրային ժամանակահատվածներում ձևավորվող և կուտակվող արոտակերի ու խոտի տվյալներին, ինչպես նաև կերարտադրության հնարավորություններին և առկա անասնագլխի կերի պահանջին, պարզվում է, որ բնակավայրի պայմաններում առկա է բավարար պայմաններ որակյալ կերերի արտադրություն կազմակերպելու և հիմնավոր նախադրյալներ անասնագլխի կերապահովումով մթերատվության ցուցանիշներն ավելացնելու համար: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</w:p>
    <w:p w:rsidR="002F010F" w:rsidRPr="00FF72FC" w:rsidRDefault="002F010F" w:rsidP="002F010F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57" w:name="_Toc17795366"/>
      <w:bookmarkStart w:id="58" w:name="_Toc524700608"/>
      <w:bookmarkStart w:id="59" w:name="_Toc402354618"/>
      <w:r w:rsidRPr="00FF72FC">
        <w:rPr>
          <w:rFonts w:ascii="Sylfaen" w:hAnsi="Sylfaen"/>
          <w:sz w:val="16"/>
          <w:szCs w:val="16"/>
        </w:rPr>
        <w:t xml:space="preserve">7. </w:t>
      </w:r>
      <w:r w:rsidRPr="00FF72FC">
        <w:rPr>
          <w:rFonts w:ascii="Sylfaen" w:hAnsi="Sylfaen" w:cs="Sylfaen"/>
          <w:sz w:val="16"/>
          <w:szCs w:val="16"/>
        </w:rPr>
        <w:t>Խոշոր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և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մանր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եղջերավոր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կենդանիների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արածեցման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համակարգ</w:t>
      </w:r>
      <w:bookmarkEnd w:id="57"/>
      <w:bookmarkEnd w:id="58"/>
      <w:bookmarkEnd w:id="59"/>
    </w:p>
    <w:p w:rsidR="002F010F" w:rsidRPr="00FF72FC" w:rsidRDefault="002F010F" w:rsidP="002F010F">
      <w:pPr>
        <w:rPr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Թառաթումբ բնակավայրի արոտների օգտագործման (արածեցման) համակարգը ներկայացված է աղյուսակ 14-ում (ա, բ):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Բնակավայրում մինչ այժմ կանոնակարգված արոտօգտագործման համակարգ գոյություն չի ունեցել, արոտային շրջանի կազմակերպումն ու արոտօգտագործումն իրականացվել է տարերայնորեն, այդ է հիմնական պատճառը, որ զգալի տարածքով արոտները համայնքամերձ հատվածներում գտնվում են վատթար վիճակում, հիմնականում գերօգտագործված և մասամբ դեգրադացված են, բուսածածկում գերակշռում են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ցածրարժեք տարախոտային բուսատեսակներ: Խնդրի խորացմանը նպաստել է նաև զգալի տարածքներով արոտավայրերում գյուղատնտեսական կենդանիներին անհրաժեշտ խմելաջրի պակասը կամ բացակայությունը, ինչով և պայմանավորված արոտավայրերը օգտագործվել են անհավասարաչափ, հաշվի չի առնվել արոտատեղամասերում նաև անասնագլխով թույլատրելի բեռնավորման նորմը (ԱԹԲ):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արոտավայրերի տեղաբաշխվածությունը և կենսակլիմայական պայմանները ապահովում են արոտային շրջանը գարնանը սկսել ապրիլի երրորդ տասնօրյակից (ԽԵԿ-ի համար), մարտի երկրորդ տասնօրյակում (ՄԵԿ-ի համար), ցածրադիր հատվածների արոտատեղամասերից: Ուշ գարնանը նախիրներն ու հոտերը տեղափոխվում են լեռնատափաստանային գոտու առավելապես բարձրադիր հատվածների արոտատեղամասեր մինչև սեպտեմբերի երրորդ տասնօրյակը, որից հետո մինչև մսուրային շրջանին անցնելը, արոտակերի ապահովման համար տեղափոխվում են բնակավայրամերձ արոտներ և այլընտրանքային կերապահովման տարածքներ, օգտագործելով նաև հնձված խոտհարքների և վարելահողերի մնացորդային խոզանն ու վերաճած ահլուկը, ինչպես նաև գործառնական նշանակությամբ այլ հողատեսքերի բուսածածկը: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Բնակավայրի պայմաններում թույլատրելի բեռնավորմամբ արոտների կայուն կառավարումը պայմանավորվում է նաև      արոտավայրերում անհրաժեշտ ենթակառուցվածքների ձևավորումով, մասնավորապես նոր ջրելատեղերի կառուցմամբ և քայքայված ջրելատեղերի վերակառուցմամբ ՊԽՄ-ի խմելաջրի ապահովումը արոտատեղամասերում, ձևավորելու է հնարավորություններ կայուն կառավարման (արոտօգտագործման) կարգեր կիրառելու և արոտավայրերը հավասարաչափ օգտագործելու համար: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Թույլատրելի բեռնավորմամբ հերթափոխային (արոտաբաժնային) արածեցման համակարգի կիրառման և արոտաշրջանառության իրականացումով, ժամանակի ընթացքում կբարձրանա բնակավայրամերձ մասամբ դեգրադացված արոտատեղամասերի արդյունավետությունը և բուսածածկի կերային արժեքը, աստիճանաբար նպաստելով գերօգտագործված և կազմալուծված արոտների վերականգնմանը, կանխելով հողերի էրոզացման հնարավոր գործընթացը և արոտների հետագա հնարավոր դեգրադացումը, ինչը ակնհայտ է նման ռելիեֆային գոտիներում: Առավել արդյունավետ է օգտագործվելու բնական արոտների բուսածածկը, ապահովելով արոտային շրջանի կերապահովման խնդրի լուծմամբ գյուղ.կենդանիների մթերատվության ցուցանիշ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 բարձրացումը: Վերջինովս էլ պայմանավորվում է ֆերմերային տնտեսություն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 եկամուտների աճն ու կենսամակարդակի բարձրացումը: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14-ում (ա, բ) ներկայացված համակարգը ներառում է ԽԵԿ նախիրների և ՄԵԿ հոտերի արոտօգտագործման սխեմաները: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Արածեցման համակարգի մշակման համար հիմք է ընդունվել Թառաթումբ բնակավայրում խոշոր և մանր եղջերավոր անասունների պայմանական գլխաքանակը (</w:t>
      </w: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ՊԳ,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աղ.11), որի հաշվարկման համար համապատասխան գործող փոխակերպման գործակիցներով համայնքի ողջ անասնագլխաքանակը (արոտից օգտվող) վերածել ենք պայմանական խոշոր միավորի (ՊԳ): Որպես պայմանական խոշոր միավոր (1 ՊԳ) ընդունված է 400 կգ կշիռ ունեցող խոշոր եղջերավոր անասունը (կովը): Այս համակարգի մշակման համար կարևոր նշանակություն ունի նաև նախիրների և հոտերի քանակը (աղ. 12): Մեկ պայմանական գլխի (</w:t>
      </w: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ՊԳ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) օրվա արածեցման հաշվարկը որոշվում է մեկ օրվա համար 400 կգ մարմնի քաշ ունեցող կովին անհրաժեշտ չոր կերի քանակով (10 կգ):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proofErr w:type="gramStart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Արոտատեղամասերում արոտօգտագործման օրերի քանակը հաշվարկվում է հետևյալ բանաձևով` </w:t>
      </w: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Արոտային տարածք x միջին բերքատվություն x 70% /ՊԳ-ի օրեկան կերի պահանջ (կգ)/ նախիրի գլխաքանակ (ՊԳ):</w:t>
      </w:r>
      <w:proofErr w:type="gramEnd"/>
    </w:p>
    <w:p w:rsidR="002F010F" w:rsidRPr="00FF72FC" w:rsidRDefault="002F010F" w:rsidP="002F010F">
      <w:pPr>
        <w:spacing w:line="360" w:lineRule="auto"/>
        <w:ind w:firstLine="567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                                        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Աղյուսակ 11</w:t>
      </w:r>
    </w:p>
    <w:p w:rsidR="002F010F" w:rsidRPr="00FF72FC" w:rsidRDefault="002F010F" w:rsidP="002F010F">
      <w:pPr>
        <w:spacing w:line="360" w:lineRule="auto"/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ԽԵԿ և ՄԵԿ պայմանական գլխաքանակի (ՊԳ) հաշվարկ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1754"/>
        <w:gridCol w:w="2363"/>
        <w:gridCol w:w="2134"/>
      </w:tblGrid>
      <w:tr w:rsidR="002F010F" w:rsidRPr="00FF72FC" w:rsidTr="002F010F">
        <w:trPr>
          <w:cantSplit/>
          <w:tblHeader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Կենդանու տեսակը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Գլխաքանակ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Փոխակերպման գործակից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Պայմանական գլուխ</w:t>
            </w:r>
          </w:p>
        </w:tc>
      </w:tr>
      <w:tr w:rsidR="002F010F" w:rsidRPr="00FF72FC" w:rsidTr="002F010F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Հասուն ԽԵԿ (կովեր)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113</w:t>
            </w:r>
          </w:p>
        </w:tc>
      </w:tr>
      <w:tr w:rsidR="002F010F" w:rsidRPr="00FF72FC" w:rsidTr="002F010F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&lt; 1 տարեկան հորթեր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25.2</w:t>
            </w:r>
          </w:p>
        </w:tc>
      </w:tr>
      <w:tr w:rsidR="002F010F" w:rsidRPr="00FF72FC" w:rsidTr="002F010F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12-24 ամսական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45</w:t>
            </w:r>
          </w:p>
        </w:tc>
      </w:tr>
      <w:tr w:rsidR="002F010F" w:rsidRPr="00FF72FC" w:rsidTr="002F010F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3.7</w:t>
            </w:r>
          </w:p>
        </w:tc>
      </w:tr>
      <w:tr w:rsidR="002F010F" w:rsidRPr="00FF72FC" w:rsidTr="002F010F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</w:t>
            </w:r>
          </w:p>
        </w:tc>
      </w:tr>
      <w:tr w:rsidR="002F010F" w:rsidRPr="00FF72FC" w:rsidTr="002F010F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9.7</w:t>
            </w:r>
          </w:p>
        </w:tc>
      </w:tr>
      <w:tr w:rsidR="002F010F" w:rsidRPr="00FF72FC" w:rsidTr="002F010F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Մաքիներ 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0.125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3.1</w:t>
            </w:r>
          </w:p>
        </w:tc>
      </w:tr>
      <w:tr w:rsidR="002F010F" w:rsidRPr="00FF72FC" w:rsidTr="002F010F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0.125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1.2</w:t>
            </w:r>
          </w:p>
        </w:tc>
      </w:tr>
      <w:tr w:rsidR="002F010F" w:rsidRPr="00FF72FC" w:rsidTr="002F010F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Գառներ+ուլեր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0.063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0.1</w:t>
            </w:r>
          </w:p>
        </w:tc>
      </w:tr>
      <w:tr w:rsidR="002F010F" w:rsidRPr="00FF72FC" w:rsidTr="002F010F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2.5</w:t>
            </w:r>
          </w:p>
        </w:tc>
      </w:tr>
      <w:tr w:rsidR="002F010F" w:rsidRPr="00FF72FC" w:rsidTr="002F010F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Ավանակներ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1.3</w:t>
            </w:r>
          </w:p>
        </w:tc>
      </w:tr>
      <w:tr w:rsidR="002F010F" w:rsidRPr="00FF72FC" w:rsidTr="002F010F">
        <w:trPr>
          <w:cantSplit/>
          <w:trHeight w:val="153"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366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F010F" w:rsidRPr="00FF72FC" w:rsidRDefault="002F010F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208</w:t>
            </w:r>
          </w:p>
        </w:tc>
      </w:tr>
    </w:tbl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Ըստ ՏԻ մարմնի տրամադրած տեղեկատվության, Թառաթումբ բնակավայրում գործում են ՄԵԿ (ոչխարի) 1 հոտ և ԽԵԿ-ի 4 նախիրներ, որից 2-ը կովերի, 2-ը տարբեր սեռահասակային խմբերի ԽԵԿ-ի (աղ. 12): Նախիրներում և հոտում հաշվվում է շուրջ 208 ՊԳ խոշոր միավոր</w:t>
      </w:r>
    </w:p>
    <w:p w:rsidR="002F010F" w:rsidRPr="00FF72FC" w:rsidRDefault="002F010F" w:rsidP="002F010F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Աղյուսակ 12</w:t>
      </w:r>
    </w:p>
    <w:p w:rsidR="002F010F" w:rsidRPr="00FF72FC" w:rsidRDefault="002F010F" w:rsidP="002F010F">
      <w:pPr>
        <w:spacing w:line="360" w:lineRule="auto"/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Արոտավայրերի արածեցման համար նախիրների և հոտերի առաջարկվող կառուցվածքը, ՊԳ-ով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2551"/>
        <w:gridCol w:w="2127"/>
      </w:tblGrid>
      <w:tr w:rsidR="002F010F" w:rsidRPr="00FF72FC" w:rsidTr="002F010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Նախիրների և հոտերի թիվը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Մեկ նախիրում և հոտում ՊԳ </w:t>
            </w: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lastRenderedPageBreak/>
              <w:t>քանակը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lastRenderedPageBreak/>
              <w:t>Ընդամենը ՊԳ</w:t>
            </w:r>
          </w:p>
        </w:tc>
      </w:tr>
      <w:tr w:rsidR="002F010F" w:rsidRPr="00FF72FC" w:rsidTr="002F010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lastRenderedPageBreak/>
              <w:t>Նախիր(կովի) 1, 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56+57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113</w:t>
            </w:r>
          </w:p>
        </w:tc>
      </w:tr>
      <w:tr w:rsidR="002F010F" w:rsidRPr="00FF72FC" w:rsidTr="002F010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Նախիր տարբեր սեռահասակային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87</w:t>
            </w:r>
          </w:p>
        </w:tc>
      </w:tr>
      <w:tr w:rsidR="002F010F" w:rsidRPr="00FF72FC" w:rsidTr="002F010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Հոտ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</w:t>
            </w:r>
          </w:p>
        </w:tc>
      </w:tr>
      <w:tr w:rsidR="002F010F" w:rsidRPr="00FF72FC" w:rsidTr="002F010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208</w:t>
            </w:r>
          </w:p>
        </w:tc>
      </w:tr>
    </w:tbl>
    <w:p w:rsidR="002F010F" w:rsidRPr="00FF72FC" w:rsidRDefault="002F010F" w:rsidP="002F010F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Ծանոթություն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Ձիերի գլխաքանակը ներառնված է մանր եղջերավորի հոտի մեջ:</w:t>
      </w:r>
    </w:p>
    <w:p w:rsidR="002F010F" w:rsidRPr="00FF72FC" w:rsidRDefault="002F010F" w:rsidP="002F010F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հերթափոխ արոտօգտագործման շրջանառությունը կազմակերպվում է հիմնվելով արոտավայրերի բերքատվության, տեղաբաշխվածության, լանդշաֆտային գոտիականության և համայնքից ունեցած հեռավորության տվյալներին: Գարնանը, արոտային շրջանի սկզբնամասում օգտագործվում է բնակավայրամերձ առավել ցածրադիր արոտները, ուշ գարնանը և ամռան սկզբին նախիրները և հոտը տեղափոխվում են առավել բարձրադիր արոտատեղամասեր, մինջև սեպտեմբերի առաջին տասնօրյակը, որից հետո հակառակ ընթացքով շարժվում են դեպի առավել ցածրադիր և բնակավայրամերձ արոտատեղամասեր, հնձված խոտհարքային տարածքներ և բերքահավաք կատարած վարելահողեր, ուր արոտակերի ապահովումն իրականացվում է մնացորդային խոզանների ու վերաճած ահլուկի արածումով, մինչև մսուրային շրջանին անցնելը: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Բնակավայրում առկա անասնագլխին արոտակերով ապահովման համար արոտային շրջանում օգտագործվում են հիմնականում արոտների, մասամբ նաև այլընտրանքային կերապահովման տարածքների բուսածածկերը: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Հնարավոր բնապահպանական խնդիրներից զերծ մնալու, անհրաժեշտ արոտակերի խնդիրը լուծելու և կայուն արոտօգտագործում կազմակերպելու համար, համայնքը կարիք ունի կայուն կառավարմամբ արոտօգտագործման արդյունավետ եղանակների կիրառման: Ելնելով արոտավայրերի իրավիճակի ցուցանիշի (ԱԻՑ) արժեքից, ձևավորվող արոտակերի ընդհանուր քանակի և արոտավայրերի թույլատրելի բեռնավորման (ԱԹԲ) նորմի հաշվարկից, պարզվում է, որ համայնքի արոտավայրերում (70% թույլատրելի օգտագործումով) և արոտակերի ապահովման այլընտրանքային տարածքներում ձևավորվող համախառն արոտակերի պաշարները, արոտային ժամանակահատվածում կարող են ապահովել շուրջ 990 ՊԳ խոշոր միավորի</w:t>
      </w:r>
      <w:r w:rsidRPr="00FF72F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կերի պահանջ: Հաշվի առնելով բնակավայրոում առկա անասնագլխաքանակը (208 ՊԽՄ), պարզ է դառնում, որ արոտային կերերով բնակավայրը լիովին ապահովված է, նույնիսկ հեռագնար արոտավայրերի որոշ հատվածներ վարձակալությամբ տրամադրվում են այլ համայնքների անասնապահ տնտեսվարողներին հեռագնա պահվածք իրականացնելու նպատակով: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Թառաթումբ բնակավայրի պայմաններում առկա արոտային կերերի ամբողջական օգտագործման համար, առաջնահերթ պայման պետք է համարել հեռագնա արոտների հասանելիության ապահովումը հեռագնա պահվածքի ճամբարային ենթակառուցվածքներ ձևավորելով: Ներկայում, բնակավայրում հաշվառված շուրջ 62 գլուխ ( ՊԽՄ) այլ սեռահասակային ԽԵԿ-երի (մինջև 1 տարեկան հորթերը` 25 ՊԽՄ հաշվառված չէ), ամառային արոտային շրջանը կազմակերպում է հեռագնա արոտներում: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պայմաններում ԽԵԿ-ի մինջև 12 ամսեկան հորթերի (25 ՊԽՄ) արոտային շրջանը կազմակերպվում է հիմնականում վարելահողերի միջնակներում կամ տնամերձ տարածքներում կապովի եղանակով, կամ ուղղակի մսուրային պահվածքով, մինջև խոտհարքներում և վարելահողերում բերքահավաքը, որից հետո ազատ պահվածքով արոտի են դուրս բերվում այս տարածքներում: Հաշվի առնելով այս հանգամանքը հորթերի գլխաքանակը (25 ՊԳ) չի ներառնվել արոտօգտագործման` արածեցման գրաֆիկում:</w:t>
      </w:r>
      <w:r w:rsidRPr="00FF72F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Այսպիսով, արոտավայրերի արդյունավետ օգտագործում իրականացնելու և անասնագլխի կերապահովման խնդիրը լուծելու համար, առաջարկում ենք Թառաթումբ բնակավայրի արոտների օգտագործումը (արածեցումը) կազմակերպել կովերի 2 նախիրներով (113 ՊԽՄ), այլ սեռահասակային խմբերի ԽԵԿ-ի 1 նախիրով (62 ՊԽՄ) և ՄԵԿ-ի 1 հոտերով (8 ՊԽՄ),: Արոտատեղամասերում արածեցումը իրականացնել ըստ առանձին նախիրների` մեկ ՊԳ/հատված հիմունքով: Անհրաժեշտ է նաև, որ նախիրների և հոտի արածեցման համակարգը հետևի համապատասխան արածեցման ժամկետներին, որոնք նշված են Աղյուսակ 14 ա, բ-ի հերթափոխային արածեցման գրաֆիկում:</w:t>
      </w:r>
      <w:r w:rsidRPr="00FF72F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Տեղում ստուգելու և համոզվելու համար, թե արդյոք գերարածեցում տեղի է ունեցել, թե ոչ, կա 2 միջոց` 1) անասունների ընդհանուր արածեցման օրերը յուրաքանչյուր արոտավայրում և 2) խոզանի բարձրությունը, ընդ որում երբ այս չափորոշիչները հասնում են սահմանված վերին շեմին, ապա այդ արոտատեղամասում արածեցումը պետք է իսկույն դադարեցվի և անասունները տեղափոխվեն այլ արոտատեղամաս: Հերթափոխային արածեցման համակարգի մի մաս է կազմում կրկնակի արածեցման գրաֆիկը, այսպես աղյուսակ 14 ա, բ-ում արածեցման առաջին և երկրորդ շրջանների համար նշված են արածեցման առավելագույն օրերը և խոզանի բարձրության տարբեր շեմեր, որոնք երբեք չպետք է խախտել, քանի որ հաշվի է առնված արածեցման ժամանակահատվածի գործոնը: Խնդիրը կայանում է նրանում, որ բուսածածկի աճի համար ավելի լավ պայմաններ ապահովող այս ծրագրի շնորհիվ, 2 տարիների ընթացքում համայնքամերձ արոտավայրերի վիճակը կայուն կառավարումով (արոտաշրջանառության իրականացմամբ) հնարավոր է բարելավել, հետագա դեգրադացումը մեղմելով ձևավորել բուսածածկի բնական վերարտադրման հնարավորությունների մեծացում, բերելով արոտավայրի արդյունավետության բարձրացմանը: Յուրաքանչյուր արոտօգտագործող պետք է գիտակցի, որ այս ձեռնարկը համայնքի բոլոր բնակիչների օգտին է և տնտեսական, և բնապահպանական առումներով: Այս համակարգի առավելությունը կայանում է նրանում, որ այն բավականին ճկուն է և թույլ է տալիս անհրաժեշտության դեպքում կախված արոտավայրի բուսածածկի վիճակից, փոփոխության ենթարկել ինչպես նախիրի քանակությունը, այնպես էլ արածեցման տևականությունն ու 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խոզանի բարձրության շեմը: Այս հանգամանքը ՏԻՄ-երին հնարավորություն է տալիս մշակել նոր, փոփոխված արածեցման սխեմաներ, դրանով իսկ ապահովել արոտամասերի արդյունավետ օգտագործումը անասնագլխաքանակի ավելացման, կլիմայական պայմանների և այլ գործոնների փոփոխման պայմաններում:</w:t>
      </w:r>
      <w:bookmarkStart w:id="60" w:name="_Toc524700609"/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F010F" w:rsidRPr="00FF72FC" w:rsidRDefault="002F010F" w:rsidP="002F010F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61" w:name="_Toc17795367"/>
      <w:bookmarkStart w:id="62" w:name="_Toc17713981"/>
      <w:bookmarkStart w:id="63" w:name="_Toc17713660"/>
      <w:bookmarkStart w:id="64" w:name="_Toc17712214"/>
      <w:bookmarkStart w:id="65" w:name="_Toc17712174"/>
      <w:bookmarkStart w:id="66" w:name="_Toc17711609"/>
      <w:bookmarkEnd w:id="60"/>
      <w:r w:rsidRPr="00FF72FC">
        <w:rPr>
          <w:rFonts w:ascii="Sylfaen" w:hAnsi="Sylfaen" w:cs="Sylfaen"/>
          <w:sz w:val="16"/>
          <w:szCs w:val="16"/>
        </w:rPr>
        <w:t>8. Մսուրային շրջանում կուտակվող կերեր (խոտի ապահովածությունը)</w:t>
      </w:r>
      <w:bookmarkEnd w:id="61"/>
      <w:bookmarkEnd w:id="62"/>
      <w:bookmarkEnd w:id="63"/>
      <w:bookmarkEnd w:id="64"/>
      <w:bookmarkEnd w:id="65"/>
      <w:bookmarkEnd w:id="66"/>
    </w:p>
    <w:p w:rsidR="002F010F" w:rsidRPr="00FF72FC" w:rsidRDefault="002F010F" w:rsidP="002F010F">
      <w:pPr>
        <w:spacing w:line="360" w:lineRule="auto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13</w:t>
      </w:r>
    </w:p>
    <w:p w:rsidR="002F010F" w:rsidRPr="00FF72FC" w:rsidRDefault="002F010F" w:rsidP="002F010F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Անասնագլխի մսուրային շրջանի խոտի պահանջն ու ապահովածությունը</w:t>
      </w:r>
    </w:p>
    <w:tbl>
      <w:tblPr>
        <w:tblW w:w="9510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1995"/>
        <w:gridCol w:w="819"/>
        <w:gridCol w:w="882"/>
        <w:gridCol w:w="966"/>
        <w:gridCol w:w="1301"/>
        <w:gridCol w:w="1126"/>
        <w:gridCol w:w="998"/>
        <w:gridCol w:w="1423"/>
      </w:tblGrid>
      <w:tr w:rsidR="002F010F" w:rsidRPr="00FF72FC" w:rsidTr="002F010F">
        <w:trPr>
          <w:cantSplit/>
          <w:trHeight w:val="2086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Կենդանու տեսակը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Գլխաքանակ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ՉԶ օրական պահանջը, կգ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Մսու</w:t>
            </w: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րային շրջան, օր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Ընդա</w:t>
            </w: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մենը պահանջարկ,տ.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Կուտակվող խոտի քանակը, տ.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Անհրաժեշտ խոտի ավելցուկը,տ.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Ապահով</w:t>
            </w: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վածու</w:t>
            </w: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թյուն,%</w:t>
            </w:r>
          </w:p>
        </w:tc>
      </w:tr>
      <w:tr w:rsidR="002F010F" w:rsidRPr="00FF72FC" w:rsidTr="002F010F">
        <w:trPr>
          <w:cantSplit/>
          <w:trHeight w:val="375"/>
        </w:trPr>
        <w:tc>
          <w:tcPr>
            <w:tcW w:w="19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Բ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Գ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Դ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Ե=ԲxԳxԴ /1000կգ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Զ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Է=Զ-Ե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Ը=Զ/Եx100%</w:t>
            </w:r>
          </w:p>
        </w:tc>
      </w:tr>
      <w:tr w:rsidR="002F010F" w:rsidRPr="00FF72FC" w:rsidTr="002F010F">
        <w:trPr>
          <w:cantSplit/>
          <w:trHeight w:val="375"/>
        </w:trPr>
        <w:tc>
          <w:tcPr>
            <w:tcW w:w="19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Հասուն ԽԵԿ (կովեր)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113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10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170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192.1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521.9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+160.6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144.4</w:t>
            </w:r>
          </w:p>
        </w:tc>
      </w:tr>
      <w:tr w:rsidR="002F010F" w:rsidRPr="00FF72FC" w:rsidTr="002F010F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&lt; 1 տարեկան հորթեր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90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2.75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210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51.9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F010F" w:rsidRPr="00FF72FC" w:rsidTr="002F010F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12-24 ամսական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100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4.5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170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76.5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F010F" w:rsidRPr="00FF72FC" w:rsidTr="002F010F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4.5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170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6.37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F010F" w:rsidRPr="00FF72FC" w:rsidTr="002F010F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7.5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170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8.5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F010F" w:rsidRPr="00FF72FC" w:rsidTr="002F010F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13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8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170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17.6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F010F" w:rsidRPr="00FF72FC" w:rsidTr="002F010F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Մաքիներ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25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1.25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105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3.58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F010F" w:rsidRPr="00FF72FC" w:rsidTr="002F010F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10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1.25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105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1.43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F010F" w:rsidRPr="00FF72FC" w:rsidTr="002F010F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Գառներ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0.62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155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0.19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F010F" w:rsidRPr="00FF72FC" w:rsidTr="002F010F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8.75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115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3.0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F010F" w:rsidRPr="00FF72FC" w:rsidTr="002F010F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Ավանակներ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6.5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0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F010F" w:rsidRPr="00FF72FC" w:rsidTr="002F010F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FF72F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366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Calibri" w:hAnsi="Calibri"/>
                <w:bCs w:val="0"/>
                <w:color w:val="auto"/>
                <w:spacing w:val="0"/>
                <w:sz w:val="16"/>
                <w:szCs w:val="16"/>
                <w:lang w:val="ru-RU" w:eastAsia="ru-RU"/>
              </w:rPr>
            </w:pP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rPr>
                <w:rFonts w:ascii="Calibri" w:hAnsi="Calibri"/>
                <w:bCs w:val="0"/>
                <w:color w:val="auto"/>
                <w:spacing w:val="0"/>
                <w:sz w:val="16"/>
                <w:szCs w:val="16"/>
                <w:lang w:val="ru-RU"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010F" w:rsidRPr="00FF72FC" w:rsidRDefault="002F010F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 w:cs="Calibri"/>
                <w:color w:val="auto"/>
                <w:sz w:val="16"/>
                <w:szCs w:val="16"/>
              </w:rPr>
              <w:t>361.3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</w:tbl>
    <w:p w:rsidR="002F010F" w:rsidRPr="00FF72FC" w:rsidRDefault="002F010F" w:rsidP="002F010F">
      <w:pPr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67" w:name="_Toc402354620"/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Թառաթումբ բնակավայրում մսուրային շրջանի համար կուտակվող կերերի ձեռքբերման աղբյուրները և քանակությունը     </w:t>
      </w:r>
    </w:p>
    <w:p w:rsidR="002F010F" w:rsidRPr="00FF72FC" w:rsidRDefault="002F010F" w:rsidP="002F010F">
      <w:pPr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Չմշակվող վարելահողերից խոտ        40.0 հա x 2.0 տ = 80.0 տ</w:t>
      </w:r>
    </w:p>
    <w:p w:rsidR="002F010F" w:rsidRPr="00FF72FC" w:rsidRDefault="002F010F" w:rsidP="002F010F">
      <w:pPr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Տնամերձ հողերից խոտ-                 50 հա x 3.0տ = 150 տ</w:t>
      </w:r>
    </w:p>
    <w:p w:rsidR="002F010F" w:rsidRPr="00FF72FC" w:rsidRDefault="002F010F" w:rsidP="002F010F">
      <w:pPr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Բնական խոտհարքներից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ab/>
        <w:t>-խոտ</w:t>
      </w: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ab/>
        <w:t xml:space="preserve">    145.98 հա x 2.0 տ = 291.9 տ</w:t>
      </w:r>
    </w:p>
    <w:p w:rsidR="002F010F" w:rsidRPr="00FF72FC" w:rsidRDefault="002F010F" w:rsidP="002F010F">
      <w:pPr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Գնովի խտացված կեր                                40.0տ</w:t>
      </w:r>
    </w:p>
    <w:p w:rsidR="002F010F" w:rsidRPr="00FF72FC" w:rsidRDefault="002F010F" w:rsidP="002F010F">
      <w:pPr>
        <w:tabs>
          <w:tab w:val="left" w:pos="0"/>
        </w:tabs>
        <w:spacing w:line="276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   Ընդամենը</w:t>
      </w: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FF72F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  <w:t xml:space="preserve">                561.9 տ   </w:t>
      </w:r>
    </w:p>
    <w:p w:rsidR="002F010F" w:rsidRPr="00FF72FC" w:rsidRDefault="002F010F" w:rsidP="002F010F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Գնովի խտացված կերերը հիմնականում օգտագործվում ընտանի թռչունների կերակրման համար, մասամբ նաև բտվող կենդանիների քաշաճի ավելացման նպատակով լրացուցիչ կերակրում կազմակերպելու համար:</w:t>
      </w:r>
    </w:p>
    <w:p w:rsidR="002F010F" w:rsidRPr="00FF72FC" w:rsidRDefault="002F010F" w:rsidP="002F010F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մսուրային շրջանում օգտագործվող խոտի պահանջը բավարարվում է (144.4%) սեփական արտադրությամբ` խոտհարքի համար օգտագործվող չմշակվող վարելահողերից, տնամերձ տարածքներից, ինչպես նաև բնական խոտհարքներից: Կուտակվող խոտի ավել մասը վաճառվում է տարածաշրջանի այլ համայնքներում:</w:t>
      </w:r>
    </w:p>
    <w:p w:rsidR="002F010F" w:rsidRPr="00FF72FC" w:rsidRDefault="002F010F" w:rsidP="002F010F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դաշտավարությամբ որակյալ կերերի արտադրության կազմակերպման, գնովի խտացված և հատիկային կերերը տեղական արտադրությամբ ապահովելու, ինչպես նաև չմշակվող վարելահողերի հնարավոր դեգրադացումը կանխելու համար, առաջնահերթ անհրաժեշտություն է բնակավայրում կերարտադրության առկա ծավալների ընդլայնման համար անհրաժեշտ նախադրյալների ստեղծումը:</w:t>
      </w:r>
    </w:p>
    <w:p w:rsidR="002F010F" w:rsidRPr="00FF72FC" w:rsidRDefault="002F010F" w:rsidP="002F010F">
      <w:pPr>
        <w:spacing w:line="360" w:lineRule="auto"/>
        <w:rPr>
          <w:rFonts w:ascii="Sylfaen" w:eastAsia="Times New Roman" w:hAnsi="Sylfaen"/>
          <w:b/>
          <w:color w:val="FF0000"/>
          <w:spacing w:val="0"/>
          <w:kern w:val="32"/>
          <w:sz w:val="16"/>
          <w:szCs w:val="16"/>
        </w:rPr>
        <w:sectPr w:rsidR="002F010F" w:rsidRPr="00FF72FC" w:rsidSect="00FF72FC">
          <w:pgSz w:w="11907" w:h="16840"/>
          <w:pgMar w:top="567" w:right="567" w:bottom="709" w:left="709" w:header="709" w:footer="843" w:gutter="0"/>
          <w:pgNumType w:chapStyle="1"/>
          <w:cols w:space="720"/>
        </w:sectPr>
      </w:pPr>
    </w:p>
    <w:p w:rsidR="002F010F" w:rsidRPr="00FF72FC" w:rsidRDefault="002F010F" w:rsidP="002F010F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68" w:name="_Toc524700611"/>
      <w:bookmarkStart w:id="69" w:name="_Toc17795368"/>
      <w:r w:rsidRPr="00FF72FC">
        <w:rPr>
          <w:rFonts w:ascii="Sylfaen" w:hAnsi="Sylfaen"/>
          <w:sz w:val="16"/>
          <w:szCs w:val="16"/>
        </w:rPr>
        <w:lastRenderedPageBreak/>
        <w:t xml:space="preserve">9. </w:t>
      </w:r>
      <w:r w:rsidRPr="00FF72FC">
        <w:rPr>
          <w:rFonts w:ascii="Sylfaen" w:hAnsi="Sylfaen"/>
          <w:bCs w:val="0"/>
          <w:sz w:val="16"/>
          <w:szCs w:val="16"/>
        </w:rPr>
        <w:t xml:space="preserve">Թառաթումբ </w:t>
      </w:r>
      <w:r w:rsidRPr="00FF72FC">
        <w:rPr>
          <w:rFonts w:ascii="Sylfaen" w:hAnsi="Sylfaen" w:cs="Sylfaen"/>
          <w:sz w:val="16"/>
          <w:szCs w:val="16"/>
        </w:rPr>
        <w:t>բնակավայրում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արոտատեղամասերի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բաշխվածության</w:t>
      </w:r>
      <w:r w:rsidRPr="00FF72FC">
        <w:rPr>
          <w:rFonts w:ascii="Sylfaen" w:hAnsi="Sylfaen" w:cs="Cambria"/>
          <w:sz w:val="16"/>
          <w:szCs w:val="16"/>
        </w:rPr>
        <w:t xml:space="preserve"> </w:t>
      </w:r>
      <w:r w:rsidRPr="00FF72FC">
        <w:rPr>
          <w:rFonts w:ascii="Sylfaen" w:hAnsi="Sylfaen" w:cs="Sylfaen"/>
          <w:sz w:val="16"/>
          <w:szCs w:val="16"/>
        </w:rPr>
        <w:t>քարտեզ</w:t>
      </w:r>
      <w:bookmarkEnd w:id="68"/>
      <w:bookmarkEnd w:id="69"/>
    </w:p>
    <w:p w:rsidR="002F010F" w:rsidRPr="00FF72FC" w:rsidRDefault="002F010F" w:rsidP="002F010F">
      <w:pPr>
        <w:spacing w:line="360" w:lineRule="auto"/>
        <w:jc w:val="center"/>
        <w:rPr>
          <w:rFonts w:ascii="Sylfaen" w:hAnsi="Sylfaen" w:cs="Sylfaen"/>
          <w:b/>
          <w:color w:val="FF0000"/>
          <w:sz w:val="16"/>
          <w:szCs w:val="16"/>
        </w:rPr>
      </w:pPr>
    </w:p>
    <w:bookmarkEnd w:id="67"/>
    <w:p w:rsidR="002F010F" w:rsidRPr="00FF72FC" w:rsidRDefault="002F010F" w:rsidP="002F010F">
      <w:pPr>
        <w:jc w:val="center"/>
        <w:rPr>
          <w:sz w:val="16"/>
          <w:szCs w:val="16"/>
        </w:rPr>
      </w:pPr>
      <w:r w:rsidRPr="00FF72FC">
        <w:rPr>
          <w:noProof/>
          <w:sz w:val="16"/>
          <w:szCs w:val="16"/>
          <w:lang w:val="ru-RU" w:eastAsia="ru-RU"/>
        </w:rPr>
        <w:drawing>
          <wp:inline distT="0" distB="0" distL="0" distR="0" wp14:anchorId="6127938E" wp14:editId="46549D54">
            <wp:extent cx="5759450" cy="5284470"/>
            <wp:effectExtent l="0" t="0" r="0" b="0"/>
            <wp:docPr id="2" name="Рисунок 2" descr="Tarat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ratumb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2FC">
        <w:rPr>
          <w:sz w:val="16"/>
          <w:szCs w:val="16"/>
        </w:rPr>
        <w:t xml:space="preserve"> </w:t>
      </w:r>
      <w:r w:rsidRPr="00FF72FC">
        <w:rPr>
          <w:sz w:val="16"/>
          <w:szCs w:val="16"/>
        </w:rPr>
        <w:br w:type="page"/>
      </w:r>
      <w:bookmarkStart w:id="70" w:name="_Toc17795369"/>
      <w:r w:rsidRPr="00FF72FC">
        <w:rPr>
          <w:rStyle w:val="10"/>
          <w:rFonts w:ascii="Sylfaen" w:eastAsia="Calibri" w:hAnsi="Sylfaen"/>
          <w:sz w:val="16"/>
          <w:szCs w:val="16"/>
        </w:rPr>
        <w:lastRenderedPageBreak/>
        <w:t xml:space="preserve">10. </w:t>
      </w:r>
      <w:r w:rsidRPr="00FF72FC">
        <w:rPr>
          <w:rStyle w:val="10"/>
          <w:rFonts w:ascii="Sylfaen" w:eastAsia="Calibri" w:hAnsi="Sylfaen" w:cs="Sylfaen"/>
          <w:sz w:val="16"/>
          <w:szCs w:val="16"/>
        </w:rPr>
        <w:t>Թառաթումբ</w:t>
      </w:r>
      <w:r w:rsidRPr="00FF72FC">
        <w:rPr>
          <w:rStyle w:val="10"/>
          <w:rFonts w:ascii="Sylfaen" w:eastAsia="Calibri" w:hAnsi="Sylfaen"/>
          <w:sz w:val="16"/>
          <w:szCs w:val="16"/>
        </w:rPr>
        <w:t xml:space="preserve"> </w:t>
      </w:r>
      <w:r w:rsidRPr="00FF72FC">
        <w:rPr>
          <w:rStyle w:val="10"/>
          <w:rFonts w:ascii="Sylfaen" w:eastAsia="Calibri" w:hAnsi="Sylfaen" w:cs="Sylfaen"/>
          <w:sz w:val="16"/>
          <w:szCs w:val="16"/>
        </w:rPr>
        <w:t>բնակավայրում</w:t>
      </w:r>
      <w:r w:rsidRPr="00FF72FC">
        <w:rPr>
          <w:rStyle w:val="10"/>
          <w:rFonts w:ascii="Sylfaen" w:eastAsia="Calibri" w:hAnsi="Sylfaen"/>
          <w:sz w:val="16"/>
          <w:szCs w:val="16"/>
        </w:rPr>
        <w:t xml:space="preserve"> </w:t>
      </w:r>
      <w:r w:rsidRPr="00FF72FC">
        <w:rPr>
          <w:rStyle w:val="10"/>
          <w:rFonts w:ascii="Sylfaen" w:eastAsia="Calibri" w:hAnsi="Sylfaen" w:cs="Sylfaen"/>
          <w:sz w:val="16"/>
          <w:szCs w:val="16"/>
        </w:rPr>
        <w:t>արոտատեղամասերի</w:t>
      </w:r>
      <w:r w:rsidRPr="00FF72FC">
        <w:rPr>
          <w:rStyle w:val="10"/>
          <w:rFonts w:ascii="Sylfaen" w:eastAsia="Calibri" w:hAnsi="Sylfaen"/>
          <w:sz w:val="16"/>
          <w:szCs w:val="16"/>
        </w:rPr>
        <w:t xml:space="preserve"> </w:t>
      </w:r>
      <w:r w:rsidRPr="00FF72FC">
        <w:rPr>
          <w:rStyle w:val="10"/>
          <w:rFonts w:ascii="Sylfaen" w:eastAsia="Calibri" w:hAnsi="Sylfaen" w:cs="Sylfaen"/>
          <w:sz w:val="16"/>
          <w:szCs w:val="16"/>
        </w:rPr>
        <w:t>բաշխվածության</w:t>
      </w:r>
      <w:r w:rsidRPr="00FF72FC">
        <w:rPr>
          <w:rStyle w:val="10"/>
          <w:rFonts w:ascii="Sylfaen" w:eastAsia="Calibri" w:hAnsi="Sylfaen"/>
          <w:sz w:val="16"/>
          <w:szCs w:val="16"/>
        </w:rPr>
        <w:t xml:space="preserve"> </w:t>
      </w:r>
      <w:r w:rsidRPr="00FF72FC">
        <w:rPr>
          <w:rStyle w:val="10"/>
          <w:rFonts w:ascii="Sylfaen" w:eastAsia="Calibri" w:hAnsi="Sylfaen" w:cs="Sylfaen"/>
          <w:sz w:val="16"/>
          <w:szCs w:val="16"/>
        </w:rPr>
        <w:t>գոտիականության</w:t>
      </w:r>
      <w:r w:rsidRPr="00FF72FC">
        <w:rPr>
          <w:rStyle w:val="10"/>
          <w:rFonts w:ascii="Sylfaen" w:eastAsia="Calibri" w:hAnsi="Sylfaen"/>
          <w:sz w:val="16"/>
          <w:szCs w:val="16"/>
        </w:rPr>
        <w:t xml:space="preserve"> </w:t>
      </w:r>
      <w:r w:rsidRPr="00FF72FC">
        <w:rPr>
          <w:rStyle w:val="10"/>
          <w:rFonts w:ascii="Sylfaen" w:eastAsia="Calibri" w:hAnsi="Sylfaen" w:cs="Sylfaen"/>
          <w:sz w:val="16"/>
          <w:szCs w:val="16"/>
        </w:rPr>
        <w:t>քարտեզ</w:t>
      </w:r>
      <w:bookmarkEnd w:id="70"/>
    </w:p>
    <w:p w:rsidR="002F010F" w:rsidRPr="00FF72FC" w:rsidRDefault="002F010F" w:rsidP="002F010F">
      <w:pPr>
        <w:spacing w:line="360" w:lineRule="auto"/>
        <w:ind w:left="-1134" w:firstLine="141"/>
        <w:rPr>
          <w:rFonts w:ascii="Sylfaen" w:hAnsi="Sylfaen"/>
          <w:sz w:val="16"/>
          <w:szCs w:val="16"/>
          <w:lang w:val="fr-FR"/>
        </w:rPr>
      </w:pPr>
      <w:bookmarkStart w:id="71" w:name="_Toc524700612"/>
    </w:p>
    <w:p w:rsidR="002F010F" w:rsidRPr="00FF72FC" w:rsidRDefault="002F010F" w:rsidP="002F010F">
      <w:pPr>
        <w:spacing w:line="360" w:lineRule="auto"/>
        <w:ind w:left="-1134" w:firstLine="141"/>
        <w:rPr>
          <w:rFonts w:ascii="Sylfaen" w:hAnsi="Sylfaen"/>
          <w:sz w:val="16"/>
          <w:szCs w:val="16"/>
          <w:lang w:val="fr-FR"/>
        </w:rPr>
      </w:pPr>
      <w:r w:rsidRPr="00FF72FC">
        <w:rPr>
          <w:rFonts w:ascii="Sylfaen" w:hAnsi="Sylfaen"/>
          <w:noProof/>
          <w:sz w:val="16"/>
          <w:szCs w:val="16"/>
          <w:lang w:val="ru-RU" w:eastAsia="ru-RU"/>
        </w:rPr>
        <w:drawing>
          <wp:inline distT="0" distB="0" distL="0" distR="0" wp14:anchorId="37248B30" wp14:editId="0FFC8AF4">
            <wp:extent cx="6875780" cy="6032500"/>
            <wp:effectExtent l="0" t="0" r="1270" b="6350"/>
            <wp:docPr id="1" name="Рисунок 1" descr="Taratumb_Ele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ratumb_Elevatio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0F" w:rsidRPr="00FF72FC" w:rsidRDefault="002F010F" w:rsidP="002F010F">
      <w:pPr>
        <w:spacing w:line="360" w:lineRule="auto"/>
        <w:rPr>
          <w:rFonts w:ascii="Sylfaen" w:hAnsi="Sylfaen"/>
          <w:sz w:val="16"/>
          <w:szCs w:val="16"/>
          <w:lang w:val="fr-FR"/>
        </w:rPr>
        <w:sectPr w:rsidR="002F010F" w:rsidRPr="00FF72FC">
          <w:pgSz w:w="11907" w:h="16840"/>
          <w:pgMar w:top="1134" w:right="709" w:bottom="567" w:left="1701" w:header="709" w:footer="1077" w:gutter="0"/>
          <w:pgNumType w:chapStyle="1"/>
          <w:cols w:space="720"/>
        </w:sectPr>
      </w:pPr>
    </w:p>
    <w:p w:rsidR="002F010F" w:rsidRPr="00FF72FC" w:rsidRDefault="002F010F" w:rsidP="002F010F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  <w:lang w:val="fr-FR"/>
        </w:rPr>
      </w:pPr>
      <w:bookmarkStart w:id="72" w:name="_Toc17795370"/>
      <w:r w:rsidRPr="00FF72FC">
        <w:rPr>
          <w:rFonts w:ascii="Sylfaen" w:hAnsi="Sylfaen"/>
          <w:sz w:val="16"/>
          <w:szCs w:val="16"/>
          <w:lang w:val="fr-FR"/>
        </w:rPr>
        <w:lastRenderedPageBreak/>
        <w:t xml:space="preserve">11. </w:t>
      </w:r>
      <w:r w:rsidRPr="00FF72FC">
        <w:rPr>
          <w:rFonts w:ascii="Sylfaen" w:hAnsi="Sylfaen"/>
          <w:bCs w:val="0"/>
          <w:sz w:val="16"/>
          <w:szCs w:val="16"/>
        </w:rPr>
        <w:t>Թառաթումբ</w:t>
      </w:r>
      <w:r w:rsidRPr="00FF72FC">
        <w:rPr>
          <w:rFonts w:ascii="Sylfaen" w:hAnsi="Sylfaen"/>
          <w:sz w:val="16"/>
          <w:szCs w:val="16"/>
          <w:lang w:val="fr-FR"/>
        </w:rPr>
        <w:t xml:space="preserve"> </w:t>
      </w:r>
      <w:r w:rsidRPr="00FF72FC">
        <w:rPr>
          <w:rFonts w:ascii="Sylfaen" w:hAnsi="Sylfaen" w:cs="Sylfaen"/>
          <w:sz w:val="16"/>
          <w:szCs w:val="16"/>
          <w:lang w:val="fr-FR"/>
        </w:rPr>
        <w:t>բնակավայրում</w:t>
      </w:r>
      <w:r w:rsidRPr="00FF72FC">
        <w:rPr>
          <w:rFonts w:ascii="Sylfaen" w:hAnsi="Sylfaen" w:cs="Cambria"/>
          <w:sz w:val="16"/>
          <w:szCs w:val="16"/>
          <w:lang w:val="fr-FR"/>
        </w:rPr>
        <w:t xml:space="preserve"> </w:t>
      </w:r>
      <w:r w:rsidRPr="00FF72FC">
        <w:rPr>
          <w:rFonts w:ascii="Sylfaen" w:hAnsi="Sylfaen" w:cs="Sylfaen"/>
          <w:sz w:val="16"/>
          <w:szCs w:val="16"/>
          <w:lang w:val="fr-FR"/>
        </w:rPr>
        <w:t>արոտատեղամասերի</w:t>
      </w:r>
      <w:r w:rsidRPr="00FF72FC">
        <w:rPr>
          <w:rFonts w:ascii="Sylfaen" w:hAnsi="Sylfaen" w:cs="Cambria"/>
          <w:sz w:val="16"/>
          <w:szCs w:val="16"/>
          <w:lang w:val="fr-FR"/>
        </w:rPr>
        <w:t xml:space="preserve"> </w:t>
      </w:r>
      <w:r w:rsidRPr="00FF72FC">
        <w:rPr>
          <w:rFonts w:ascii="Sylfaen" w:hAnsi="Sylfaen" w:cs="Sylfaen"/>
          <w:sz w:val="16"/>
          <w:szCs w:val="16"/>
          <w:lang w:val="fr-FR"/>
        </w:rPr>
        <w:t>արածեցման</w:t>
      </w:r>
      <w:r w:rsidRPr="00FF72FC">
        <w:rPr>
          <w:rFonts w:ascii="Sylfaen" w:hAnsi="Sylfaen"/>
          <w:sz w:val="16"/>
          <w:szCs w:val="16"/>
          <w:lang w:val="fr-FR"/>
        </w:rPr>
        <w:t xml:space="preserve"> </w:t>
      </w:r>
      <w:r w:rsidRPr="00FF72FC">
        <w:rPr>
          <w:rFonts w:ascii="Sylfaen" w:hAnsi="Sylfaen" w:cs="Sylfaen"/>
          <w:sz w:val="16"/>
          <w:szCs w:val="16"/>
          <w:lang w:val="fr-FR"/>
        </w:rPr>
        <w:t>գրաֆիկ</w:t>
      </w:r>
      <w:bookmarkEnd w:id="71"/>
      <w:bookmarkEnd w:id="72"/>
    </w:p>
    <w:p w:rsidR="002F010F" w:rsidRPr="00FF72FC" w:rsidRDefault="002F010F" w:rsidP="002F010F">
      <w:pPr>
        <w:tabs>
          <w:tab w:val="left" w:pos="360"/>
        </w:tabs>
        <w:spacing w:line="360" w:lineRule="auto"/>
        <w:ind w:firstLine="426"/>
        <w:jc w:val="right"/>
        <w:rPr>
          <w:rFonts w:ascii="Sylfaen" w:hAnsi="Sylfaen" w:cs="Sylfaen"/>
          <w:color w:val="auto"/>
          <w:sz w:val="16"/>
          <w:szCs w:val="16"/>
          <w:lang w:val="fr-FR"/>
        </w:rPr>
      </w:pPr>
      <w:r w:rsidRPr="00FF72FC">
        <w:rPr>
          <w:rFonts w:ascii="Sylfaen" w:hAnsi="Sylfaen" w:cs="Sylfaen"/>
          <w:color w:val="auto"/>
          <w:sz w:val="16"/>
          <w:szCs w:val="16"/>
        </w:rPr>
        <w:t>Աղյուսակ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 xml:space="preserve"> 14</w:t>
      </w:r>
      <w:r w:rsidRPr="00FF72FC">
        <w:rPr>
          <w:rFonts w:ascii="Sylfaen" w:hAnsi="Sylfaen" w:cs="Sylfaen"/>
          <w:color w:val="auto"/>
          <w:sz w:val="16"/>
          <w:szCs w:val="16"/>
        </w:rPr>
        <w:t>ա</w:t>
      </w:r>
    </w:p>
    <w:p w:rsidR="002F010F" w:rsidRPr="00FF72FC" w:rsidRDefault="002F010F" w:rsidP="002F010F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 w:cs="Sylfaen"/>
          <w:color w:val="auto"/>
          <w:sz w:val="16"/>
          <w:szCs w:val="16"/>
          <w:lang w:val="fr-FR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Թառաթումբ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F72FC">
        <w:rPr>
          <w:rFonts w:ascii="Sylfaen" w:hAnsi="Sylfaen" w:cs="Sylfaen"/>
          <w:color w:val="auto"/>
          <w:sz w:val="16"/>
          <w:szCs w:val="16"/>
        </w:rPr>
        <w:t>բնակավայրի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F72FC">
        <w:rPr>
          <w:rFonts w:ascii="Sylfaen" w:hAnsi="Sylfaen" w:cs="Sylfaen"/>
          <w:color w:val="auto"/>
          <w:sz w:val="16"/>
          <w:szCs w:val="16"/>
        </w:rPr>
        <w:t>ԽԵԿ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FF72FC">
        <w:rPr>
          <w:rFonts w:ascii="Sylfaen" w:hAnsi="Sylfaen" w:cs="Sylfaen"/>
          <w:color w:val="auto"/>
          <w:sz w:val="16"/>
          <w:szCs w:val="16"/>
        </w:rPr>
        <w:t>ի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F72FC">
        <w:rPr>
          <w:rFonts w:ascii="Sylfaen" w:hAnsi="Sylfaen" w:cs="Sylfaen"/>
          <w:color w:val="auto"/>
          <w:sz w:val="16"/>
          <w:szCs w:val="16"/>
        </w:rPr>
        <w:t>և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F72FC">
        <w:rPr>
          <w:rFonts w:ascii="Sylfaen" w:hAnsi="Sylfaen" w:cs="Sylfaen"/>
          <w:color w:val="auto"/>
          <w:sz w:val="16"/>
          <w:szCs w:val="16"/>
        </w:rPr>
        <w:t>ՄԵԿ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FF72FC">
        <w:rPr>
          <w:rFonts w:ascii="Sylfaen" w:hAnsi="Sylfaen" w:cs="Sylfaen"/>
          <w:color w:val="auto"/>
          <w:sz w:val="16"/>
          <w:szCs w:val="16"/>
        </w:rPr>
        <w:t>ի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F72FC">
        <w:rPr>
          <w:rFonts w:ascii="Sylfaen" w:hAnsi="Sylfaen" w:cs="Sylfaen"/>
          <w:color w:val="auto"/>
          <w:sz w:val="16"/>
          <w:szCs w:val="16"/>
        </w:rPr>
        <w:t>արածեցման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F72FC">
        <w:rPr>
          <w:rFonts w:ascii="Sylfaen" w:hAnsi="Sylfaen" w:cs="Sylfaen"/>
          <w:color w:val="auto"/>
          <w:sz w:val="16"/>
          <w:szCs w:val="16"/>
        </w:rPr>
        <w:t>գրաֆիկ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</w:p>
    <w:p w:rsidR="002F010F" w:rsidRPr="00FF72FC" w:rsidRDefault="002F010F" w:rsidP="002F010F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auto"/>
          <w:sz w:val="16"/>
          <w:szCs w:val="16"/>
          <w:lang w:val="fr-FR"/>
        </w:rPr>
      </w:pPr>
      <w:r w:rsidRPr="00FF72FC">
        <w:rPr>
          <w:rFonts w:ascii="Sylfaen" w:hAnsi="Sylfaen"/>
          <w:color w:val="auto"/>
          <w:sz w:val="16"/>
          <w:szCs w:val="16"/>
          <w:lang w:val="fr-FR"/>
        </w:rPr>
        <w:t xml:space="preserve">(1-ին </w:t>
      </w:r>
      <w:r w:rsidRPr="00FF72FC">
        <w:rPr>
          <w:rFonts w:ascii="Sylfaen" w:hAnsi="Sylfaen"/>
          <w:color w:val="auto"/>
          <w:sz w:val="16"/>
          <w:szCs w:val="16"/>
        </w:rPr>
        <w:t>տարի</w:t>
      </w:r>
      <w:r w:rsidRPr="00FF72FC">
        <w:rPr>
          <w:rFonts w:ascii="Sylfaen" w:hAnsi="Sylfaen"/>
          <w:color w:val="auto"/>
          <w:sz w:val="16"/>
          <w:szCs w:val="16"/>
          <w:lang w:val="fr-FR"/>
        </w:rPr>
        <w:t>)</w:t>
      </w:r>
    </w:p>
    <w:tbl>
      <w:tblPr>
        <w:tblpPr w:leftFromText="180" w:rightFromText="180" w:vertAnchor="text" w:tblpXSpec="right" w:tblpY="1"/>
        <w:tblOverlap w:val="never"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629"/>
        <w:gridCol w:w="1889"/>
        <w:gridCol w:w="989"/>
        <w:gridCol w:w="1169"/>
        <w:gridCol w:w="1529"/>
        <w:gridCol w:w="1439"/>
        <w:gridCol w:w="810"/>
        <w:gridCol w:w="630"/>
        <w:gridCol w:w="486"/>
      </w:tblGrid>
      <w:tr w:rsidR="002F010F" w:rsidRPr="00FF72FC" w:rsidTr="002F010F">
        <w:trPr>
          <w:trHeight w:val="1173"/>
        </w:trPr>
        <w:tc>
          <w:tcPr>
            <w:tcW w:w="3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639" w:hanging="639"/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 w:rsidRPr="00FF72FC">
              <w:rPr>
                <w:rFonts w:ascii="Sylfaen" w:hAnsi="Sylfaen"/>
                <w:sz w:val="16"/>
                <w:szCs w:val="16"/>
                <w:lang w:val="fr-FR"/>
              </w:rPr>
              <w:t>Արոտավայրի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 w:cs="Sylfaen"/>
                <w:sz w:val="16"/>
                <w:szCs w:val="16"/>
              </w:rPr>
              <w:t>Նախիր</w:t>
            </w:r>
            <w:r w:rsidRPr="00FF72FC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FF72FC">
              <w:rPr>
                <w:rFonts w:ascii="Sylfaen" w:hAnsi="Sylfaen" w:cs="Sylfaen"/>
                <w:sz w:val="16"/>
                <w:szCs w:val="16"/>
              </w:rPr>
              <w:t>հոտ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 w:cs="Sylfaen"/>
                <w:sz w:val="16"/>
                <w:szCs w:val="16"/>
              </w:rPr>
              <w:t>Արածեցման ժամ</w:t>
            </w:r>
            <w:r w:rsidRPr="00FF72FC">
              <w:rPr>
                <w:rFonts w:ascii="Sylfaen" w:hAnsi="Sylfaen"/>
                <w:sz w:val="16"/>
                <w:szCs w:val="16"/>
              </w:rPr>
              <w:softHyphen/>
            </w:r>
            <w:r w:rsidRPr="00FF72FC">
              <w:rPr>
                <w:rFonts w:ascii="Sylfaen" w:hAnsi="Sylfaen" w:cs="Sylfaen"/>
                <w:sz w:val="16"/>
                <w:szCs w:val="16"/>
              </w:rPr>
              <w:t>կետ</w:t>
            </w:r>
            <w:r w:rsidRPr="00FF72FC">
              <w:rPr>
                <w:rFonts w:ascii="Sylfaen" w:hAnsi="Sylfaen"/>
                <w:sz w:val="16"/>
                <w:szCs w:val="16"/>
              </w:rPr>
              <w:softHyphen/>
            </w:r>
            <w:r w:rsidRPr="00FF72FC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FF72FC">
              <w:rPr>
                <w:rFonts w:ascii="Sylfaen" w:hAnsi="Sylfaen"/>
                <w:sz w:val="16"/>
                <w:szCs w:val="16"/>
              </w:rPr>
              <w:t xml:space="preserve"> (</w:t>
            </w:r>
            <w:r w:rsidRPr="00FF72FC">
              <w:rPr>
                <w:rFonts w:ascii="Sylfaen" w:hAnsi="Sylfaen" w:cs="Sylfaen"/>
                <w:sz w:val="16"/>
                <w:szCs w:val="16"/>
              </w:rPr>
              <w:t>շրջա</w:t>
            </w:r>
            <w:r w:rsidRPr="00FF72FC">
              <w:rPr>
                <w:rFonts w:ascii="Sylfaen" w:hAnsi="Sylfaen"/>
                <w:sz w:val="16"/>
                <w:szCs w:val="16"/>
              </w:rPr>
              <w:softHyphen/>
            </w:r>
            <w:r w:rsidRPr="00FF72FC">
              <w:rPr>
                <w:rFonts w:ascii="Sylfaen" w:hAnsi="Sylfaen" w:cs="Sylfaen"/>
                <w:sz w:val="16"/>
                <w:szCs w:val="16"/>
              </w:rPr>
              <w:t>պտույտ</w:t>
            </w:r>
            <w:r w:rsidRPr="00FF72FC">
              <w:rPr>
                <w:rFonts w:ascii="Sylfaen" w:hAnsi="Sylfaen"/>
                <w:sz w:val="16"/>
                <w:szCs w:val="16"/>
              </w:rPr>
              <w:softHyphen/>
            </w:r>
            <w:r w:rsidRPr="00FF72FC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FF72FC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FF72FC">
              <w:rPr>
                <w:rFonts w:ascii="Sylfaen" w:hAnsi="Sylfaen" w:cs="Sylfaen"/>
                <w:sz w:val="16"/>
                <w:szCs w:val="16"/>
              </w:rPr>
              <w:t>ռո</w:t>
            </w:r>
            <w:r w:rsidRPr="00FF72FC">
              <w:rPr>
                <w:rFonts w:ascii="Sylfaen" w:hAnsi="Sylfaen"/>
                <w:sz w:val="16"/>
                <w:szCs w:val="16"/>
              </w:rPr>
              <w:softHyphen/>
            </w:r>
            <w:r w:rsidRPr="00FF72FC">
              <w:rPr>
                <w:rFonts w:ascii="Sylfaen" w:hAnsi="Sylfaen" w:cs="Sylfaen"/>
                <w:sz w:val="16"/>
                <w:szCs w:val="16"/>
              </w:rPr>
              <w:t>տացիա</w:t>
            </w:r>
            <w:r w:rsidRPr="00FF72FC">
              <w:rPr>
                <w:rFonts w:ascii="Sylfaen" w:hAnsi="Sylfaen"/>
                <w:sz w:val="16"/>
                <w:szCs w:val="16"/>
              </w:rPr>
              <w:t>)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 w:cs="Sylfaen"/>
                <w:sz w:val="16"/>
                <w:szCs w:val="16"/>
              </w:rPr>
              <w:t>Արածեցման տևողություն</w:t>
            </w:r>
            <w:r w:rsidRPr="00FF72FC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FF72FC">
              <w:rPr>
                <w:rFonts w:ascii="Sylfaen" w:hAnsi="Sylfaen" w:cs="Sylfaen"/>
                <w:sz w:val="16"/>
                <w:szCs w:val="16"/>
              </w:rPr>
              <w:t>օր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 w:cs="Sylfaen"/>
                <w:sz w:val="16"/>
                <w:szCs w:val="16"/>
                <w:lang w:val="fr-FR"/>
              </w:rPr>
              <w:t>Խոզանի</w:t>
            </w:r>
            <w:r w:rsidRPr="00FF72FC">
              <w:rPr>
                <w:rFonts w:ascii="Sylfaen" w:hAnsi="Sylfaen"/>
                <w:sz w:val="16"/>
                <w:szCs w:val="16"/>
                <w:lang w:val="fr-FR"/>
              </w:rPr>
              <w:t xml:space="preserve"> </w:t>
            </w:r>
            <w:r w:rsidRPr="00FF72FC">
              <w:rPr>
                <w:rFonts w:ascii="Sylfaen" w:hAnsi="Sylfaen" w:cs="Sylfaen"/>
                <w:sz w:val="16"/>
                <w:szCs w:val="16"/>
              </w:rPr>
              <w:t>բարձր</w:t>
            </w:r>
            <w:r w:rsidRPr="00FF72FC">
              <w:rPr>
                <w:rFonts w:ascii="Sylfaen" w:hAnsi="Sylfaen"/>
                <w:sz w:val="16"/>
                <w:szCs w:val="16"/>
                <w:lang w:val="fr-FR"/>
              </w:rPr>
              <w:t>. (</w:t>
            </w:r>
            <w:r w:rsidRPr="00FF72FC">
              <w:rPr>
                <w:rFonts w:ascii="Sylfaen" w:hAnsi="Sylfaen" w:cs="Sylfaen"/>
                <w:sz w:val="16"/>
                <w:szCs w:val="16"/>
                <w:lang w:val="fr-FR"/>
              </w:rPr>
              <w:t>սմ</w:t>
            </w:r>
            <w:r w:rsidRPr="00FF72FC">
              <w:rPr>
                <w:rFonts w:ascii="Sylfaen" w:hAnsi="Sylfaen"/>
                <w:sz w:val="16"/>
                <w:szCs w:val="16"/>
                <w:lang w:val="fr-FR"/>
              </w:rPr>
              <w:t>)</w:t>
            </w:r>
          </w:p>
        </w:tc>
      </w:tr>
      <w:tr w:rsidR="002F010F" w:rsidRPr="00FF72FC" w:rsidTr="002F010F">
        <w:trPr>
          <w:trHeight w:val="59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 w:cs="Sylfaen"/>
                <w:sz w:val="16"/>
                <w:szCs w:val="16"/>
              </w:rPr>
              <w:t>Համարը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 w:cs="Sylfaen"/>
                <w:sz w:val="16"/>
                <w:szCs w:val="16"/>
              </w:rPr>
              <w:t>Անվանումը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 w:cs="Sylfaen"/>
                <w:sz w:val="16"/>
                <w:szCs w:val="16"/>
              </w:rPr>
              <w:t>Տարածքը</w:t>
            </w:r>
            <w:r w:rsidRPr="00FF72FC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FF72FC">
              <w:rPr>
                <w:rFonts w:ascii="Sylfaen" w:hAnsi="Sylfaen" w:cs="Sylfaen"/>
                <w:sz w:val="16"/>
                <w:szCs w:val="16"/>
              </w:rPr>
              <w:t>հա</w:t>
            </w: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  <w:lang w:val="hy-AM"/>
              </w:rPr>
              <w:t xml:space="preserve">I </w:t>
            </w:r>
            <w:r w:rsidRPr="00FF72FC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  <w:lang w:val="hy-AM"/>
              </w:rPr>
              <w:t xml:space="preserve">II </w:t>
            </w:r>
            <w:r w:rsidRPr="00FF72FC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sz w:val="16"/>
                <w:szCs w:val="16"/>
                <w:lang w:val="fr-FR"/>
              </w:rPr>
            </w:pPr>
            <w:r w:rsidRPr="00FF72FC">
              <w:rPr>
                <w:rFonts w:ascii="Sylfaen" w:hAnsi="Sylfaen"/>
                <w:sz w:val="16"/>
                <w:szCs w:val="16"/>
                <w:lang w:val="fr-FR"/>
              </w:rPr>
              <w:t>մուտք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  <w:lang w:val="fr-FR"/>
              </w:rPr>
              <w:t>ելք</w:t>
            </w:r>
          </w:p>
        </w:tc>
      </w:tr>
      <w:tr w:rsidR="002F010F" w:rsidRPr="00FF72FC" w:rsidTr="002F010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Գյունեյ-3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66.35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20/04-18/05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20/09-21/10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57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2F010F" w:rsidRPr="00FF72FC" w:rsidTr="002F010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Գյունեյ-2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31.57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19/05-10/06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23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2F010F" w:rsidRPr="00FF72FC" w:rsidTr="002F010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Գյունեյ-4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47.0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11/06-11/07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07/09-19/09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42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4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F010F" w:rsidRPr="00FF72FC" w:rsidTr="002F010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Եդի կարդաշ-1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38.19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12/07-15/08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34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16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F010F" w:rsidRPr="00FF72FC" w:rsidTr="002F010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Եդի կարդաշ-2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24.37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16/08-06/09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22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6</w:t>
            </w:r>
          </w:p>
        </w:tc>
      </w:tr>
      <w:tr w:rsidR="002F010F" w:rsidRPr="00FF72FC" w:rsidTr="002F010F">
        <w:trPr>
          <w:trHeight w:val="23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Այլ հողատեսքերի բուսածածք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20.0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22/10-05/11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F010F" w:rsidRPr="00FF72FC" w:rsidTr="002F010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Հարթունենց արտեր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21.64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20/04-01/05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11/10-05/11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35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F010F" w:rsidRPr="00FF72FC" w:rsidTr="002F010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Մարկոսի յալ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27.12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02/05-11/06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2F010F" w:rsidRPr="00FF72FC" w:rsidTr="002F010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Իման արխաջ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33.01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06/09-10/10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35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F010F" w:rsidRPr="00FF72FC" w:rsidTr="002F010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Գնդասար-1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63.62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12/06-05/09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85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2F010F" w:rsidRPr="00FF72FC" w:rsidTr="002F010F">
        <w:tc>
          <w:tcPr>
            <w:tcW w:w="6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189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Այլ հողատեսքերի բուսածածք</w:t>
            </w:r>
          </w:p>
        </w:tc>
        <w:tc>
          <w:tcPr>
            <w:tcW w:w="99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55.0</w:t>
            </w:r>
          </w:p>
        </w:tc>
        <w:tc>
          <w:tcPr>
            <w:tcW w:w="117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5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15/03-01/05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07/11-05/12</w:t>
            </w:r>
          </w:p>
        </w:tc>
        <w:tc>
          <w:tcPr>
            <w:tcW w:w="8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75</w:t>
            </w:r>
          </w:p>
        </w:tc>
        <w:tc>
          <w:tcPr>
            <w:tcW w:w="6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-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F010F" w:rsidRPr="00FF72FC" w:rsidTr="002F010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Գյունեյ-1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55.86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02/05-15/06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21/10-06/11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10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F010F" w:rsidRPr="00FF72FC" w:rsidTr="002F010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Գյունեյ-3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66.35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24/08-20/10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57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F010F" w:rsidRPr="00FF72FC" w:rsidTr="002F010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Իման արխաջ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33.01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16/06-25/07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2F010F" w:rsidRPr="00FF72FC" w:rsidTr="002F010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Մարկոսի յալ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27.12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26/07-23/08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</w:tbl>
    <w:p w:rsidR="002F010F" w:rsidRPr="00FF72FC" w:rsidRDefault="002F010F" w:rsidP="002F010F">
      <w:pPr>
        <w:rPr>
          <w:rFonts w:ascii="Sylfaen" w:hAnsi="Sylfaen"/>
          <w:sz w:val="16"/>
          <w:szCs w:val="16"/>
        </w:rPr>
      </w:pPr>
      <w:r w:rsidRPr="00FF72FC">
        <w:rPr>
          <w:rFonts w:ascii="Sylfaen" w:hAnsi="Sylfaen"/>
          <w:b/>
          <w:sz w:val="16"/>
          <w:szCs w:val="16"/>
        </w:rPr>
        <w:t>Ծանոթություն</w:t>
      </w:r>
      <w:r w:rsidRPr="00FF72FC">
        <w:rPr>
          <w:rFonts w:ascii="Sylfaen" w:hAnsi="Sylfaen"/>
          <w:sz w:val="16"/>
          <w:szCs w:val="16"/>
        </w:rPr>
        <w:t>, ՈՒ- ուշ ժամկետում արածեցում:</w:t>
      </w:r>
    </w:p>
    <w:p w:rsidR="002F010F" w:rsidRPr="00FF72FC" w:rsidRDefault="002F010F" w:rsidP="002F010F">
      <w:pPr>
        <w:tabs>
          <w:tab w:val="left" w:pos="360"/>
        </w:tabs>
        <w:spacing w:line="360" w:lineRule="auto"/>
        <w:ind w:firstLine="426"/>
        <w:jc w:val="right"/>
        <w:rPr>
          <w:rFonts w:ascii="Sylfaen" w:hAnsi="Sylfaen" w:cs="Sylfaen"/>
          <w:color w:val="auto"/>
          <w:sz w:val="16"/>
          <w:szCs w:val="16"/>
          <w:lang w:val="fr-FR"/>
        </w:rPr>
      </w:pPr>
      <w:r w:rsidRPr="00FF72FC">
        <w:rPr>
          <w:rFonts w:ascii="Sylfaen" w:hAnsi="Sylfaen"/>
          <w:color w:val="FF0000"/>
          <w:sz w:val="16"/>
          <w:szCs w:val="16"/>
          <w:lang w:val="fr-FR"/>
        </w:rPr>
        <w:br w:type="page"/>
      </w:r>
      <w:r w:rsidRPr="00FF72FC">
        <w:rPr>
          <w:rFonts w:ascii="Sylfaen" w:hAnsi="Sylfaen"/>
          <w:color w:val="FF0000"/>
          <w:sz w:val="16"/>
          <w:szCs w:val="16"/>
          <w:lang w:val="fr-FR"/>
        </w:rPr>
        <w:lastRenderedPageBreak/>
        <w:t xml:space="preserve">        </w:t>
      </w:r>
      <w:r w:rsidRPr="00FF72FC">
        <w:rPr>
          <w:rFonts w:ascii="Sylfaen" w:hAnsi="Sylfaen" w:cs="Sylfaen"/>
          <w:color w:val="auto"/>
          <w:sz w:val="16"/>
          <w:szCs w:val="16"/>
        </w:rPr>
        <w:t>Աղյուսակ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 xml:space="preserve"> 14</w:t>
      </w:r>
      <w:r w:rsidRPr="00FF72FC">
        <w:rPr>
          <w:rFonts w:ascii="Sylfaen" w:hAnsi="Sylfaen" w:cs="Sylfaen"/>
          <w:color w:val="auto"/>
          <w:sz w:val="16"/>
          <w:szCs w:val="16"/>
        </w:rPr>
        <w:t>բ</w:t>
      </w:r>
    </w:p>
    <w:p w:rsidR="002F010F" w:rsidRPr="00FF72FC" w:rsidRDefault="002F010F" w:rsidP="002F010F">
      <w:pPr>
        <w:spacing w:line="360" w:lineRule="auto"/>
        <w:jc w:val="center"/>
        <w:rPr>
          <w:rFonts w:ascii="Sylfaen" w:hAnsi="Sylfaen" w:cs="Sylfaen"/>
          <w:color w:val="auto"/>
          <w:sz w:val="16"/>
          <w:szCs w:val="16"/>
          <w:lang w:val="fr-FR"/>
        </w:rPr>
      </w:pPr>
      <w:r w:rsidRPr="00FF72FC">
        <w:rPr>
          <w:rFonts w:ascii="Sylfaen" w:hAnsi="Sylfaen"/>
          <w:bCs w:val="0"/>
          <w:color w:val="auto"/>
          <w:spacing w:val="0"/>
          <w:sz w:val="16"/>
          <w:szCs w:val="16"/>
        </w:rPr>
        <w:t>Թառաթումբ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F72FC">
        <w:rPr>
          <w:rFonts w:ascii="Sylfaen" w:hAnsi="Sylfaen" w:cs="Sylfaen"/>
          <w:color w:val="auto"/>
          <w:sz w:val="16"/>
          <w:szCs w:val="16"/>
        </w:rPr>
        <w:t>բնակավայրի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F72FC">
        <w:rPr>
          <w:rFonts w:ascii="Sylfaen" w:hAnsi="Sylfaen" w:cs="Sylfaen"/>
          <w:color w:val="auto"/>
          <w:sz w:val="16"/>
          <w:szCs w:val="16"/>
        </w:rPr>
        <w:t>ԽԵԿ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FF72FC">
        <w:rPr>
          <w:rFonts w:ascii="Sylfaen" w:hAnsi="Sylfaen" w:cs="Sylfaen"/>
          <w:color w:val="auto"/>
          <w:sz w:val="16"/>
          <w:szCs w:val="16"/>
        </w:rPr>
        <w:t>ի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F72FC">
        <w:rPr>
          <w:rFonts w:ascii="Sylfaen" w:hAnsi="Sylfaen" w:cs="Sylfaen"/>
          <w:color w:val="auto"/>
          <w:sz w:val="16"/>
          <w:szCs w:val="16"/>
        </w:rPr>
        <w:t>և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F72FC">
        <w:rPr>
          <w:rFonts w:ascii="Sylfaen" w:hAnsi="Sylfaen" w:cs="Sylfaen"/>
          <w:color w:val="auto"/>
          <w:sz w:val="16"/>
          <w:szCs w:val="16"/>
        </w:rPr>
        <w:t>ՄԵԿ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FF72FC">
        <w:rPr>
          <w:rFonts w:ascii="Sylfaen" w:hAnsi="Sylfaen" w:cs="Sylfaen"/>
          <w:color w:val="auto"/>
          <w:sz w:val="16"/>
          <w:szCs w:val="16"/>
        </w:rPr>
        <w:t>ի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F72FC">
        <w:rPr>
          <w:rFonts w:ascii="Sylfaen" w:hAnsi="Sylfaen" w:cs="Sylfaen"/>
          <w:color w:val="auto"/>
          <w:sz w:val="16"/>
          <w:szCs w:val="16"/>
        </w:rPr>
        <w:t>արածեցման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FF72FC">
        <w:rPr>
          <w:rFonts w:ascii="Sylfaen" w:hAnsi="Sylfaen" w:cs="Sylfaen"/>
          <w:color w:val="auto"/>
          <w:sz w:val="16"/>
          <w:szCs w:val="16"/>
        </w:rPr>
        <w:t>գրաֆիկ</w:t>
      </w:r>
      <w:r w:rsidRPr="00FF72F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</w:p>
    <w:p w:rsidR="002F010F" w:rsidRPr="00FF72FC" w:rsidRDefault="002F010F" w:rsidP="002F010F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auto"/>
          <w:sz w:val="16"/>
          <w:szCs w:val="16"/>
          <w:lang w:val="fr-FR"/>
        </w:rPr>
      </w:pPr>
      <w:r w:rsidRPr="00FF72FC">
        <w:rPr>
          <w:rFonts w:ascii="Sylfaen" w:hAnsi="Sylfaen"/>
          <w:color w:val="auto"/>
          <w:sz w:val="16"/>
          <w:szCs w:val="16"/>
          <w:lang w:val="fr-FR"/>
        </w:rPr>
        <w:t xml:space="preserve">(2-րդ </w:t>
      </w:r>
      <w:r w:rsidRPr="00FF72FC">
        <w:rPr>
          <w:rFonts w:ascii="Sylfaen" w:hAnsi="Sylfaen"/>
          <w:color w:val="auto"/>
          <w:sz w:val="16"/>
          <w:szCs w:val="16"/>
        </w:rPr>
        <w:t>տարի</w:t>
      </w:r>
      <w:r w:rsidRPr="00FF72FC">
        <w:rPr>
          <w:rFonts w:ascii="Sylfaen" w:hAnsi="Sylfaen"/>
          <w:color w:val="auto"/>
          <w:sz w:val="16"/>
          <w:szCs w:val="16"/>
          <w:lang w:val="fr-FR"/>
        </w:rPr>
        <w:t>)</w:t>
      </w:r>
    </w:p>
    <w:tbl>
      <w:tblPr>
        <w:tblpPr w:leftFromText="180" w:rightFromText="180" w:vertAnchor="text" w:tblpXSpec="right" w:tblpY="1"/>
        <w:tblOverlap w:val="never"/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677"/>
        <w:gridCol w:w="2252"/>
        <w:gridCol w:w="901"/>
        <w:gridCol w:w="1171"/>
        <w:gridCol w:w="1441"/>
        <w:gridCol w:w="1531"/>
        <w:gridCol w:w="901"/>
        <w:gridCol w:w="630"/>
        <w:gridCol w:w="486"/>
      </w:tblGrid>
      <w:tr w:rsidR="002F010F" w:rsidRPr="00FF72FC" w:rsidTr="002F010F">
        <w:trPr>
          <w:trHeight w:val="1173"/>
        </w:trPr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639" w:hanging="639"/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 w:rsidRPr="00FF72FC">
              <w:rPr>
                <w:rFonts w:ascii="Sylfaen" w:hAnsi="Sylfaen"/>
                <w:sz w:val="16"/>
                <w:szCs w:val="16"/>
                <w:lang w:val="fr-FR"/>
              </w:rPr>
              <w:t>Արոտավայրի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 w:cs="Sylfaen"/>
                <w:sz w:val="16"/>
                <w:szCs w:val="16"/>
              </w:rPr>
              <w:t>Նախիր</w:t>
            </w:r>
            <w:r w:rsidRPr="00FF72FC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FF72FC">
              <w:rPr>
                <w:rFonts w:ascii="Sylfaen" w:hAnsi="Sylfaen" w:cs="Sylfaen"/>
                <w:sz w:val="16"/>
                <w:szCs w:val="16"/>
              </w:rPr>
              <w:t>հոտ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 w:cs="Sylfaen"/>
                <w:sz w:val="16"/>
                <w:szCs w:val="16"/>
              </w:rPr>
              <w:t>Արածեցման ժամ</w:t>
            </w:r>
            <w:r w:rsidRPr="00FF72FC">
              <w:rPr>
                <w:rFonts w:ascii="Sylfaen" w:hAnsi="Sylfaen"/>
                <w:sz w:val="16"/>
                <w:szCs w:val="16"/>
              </w:rPr>
              <w:softHyphen/>
            </w:r>
            <w:r w:rsidRPr="00FF72FC">
              <w:rPr>
                <w:rFonts w:ascii="Sylfaen" w:hAnsi="Sylfaen" w:cs="Sylfaen"/>
                <w:sz w:val="16"/>
                <w:szCs w:val="16"/>
              </w:rPr>
              <w:t>կետ</w:t>
            </w:r>
            <w:r w:rsidRPr="00FF72FC">
              <w:rPr>
                <w:rFonts w:ascii="Sylfaen" w:hAnsi="Sylfaen"/>
                <w:sz w:val="16"/>
                <w:szCs w:val="16"/>
              </w:rPr>
              <w:softHyphen/>
            </w:r>
            <w:r w:rsidRPr="00FF72FC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FF72FC">
              <w:rPr>
                <w:rFonts w:ascii="Sylfaen" w:hAnsi="Sylfaen"/>
                <w:sz w:val="16"/>
                <w:szCs w:val="16"/>
              </w:rPr>
              <w:t xml:space="preserve"> (</w:t>
            </w:r>
            <w:r w:rsidRPr="00FF72FC">
              <w:rPr>
                <w:rFonts w:ascii="Sylfaen" w:hAnsi="Sylfaen" w:cs="Sylfaen"/>
                <w:sz w:val="16"/>
                <w:szCs w:val="16"/>
              </w:rPr>
              <w:t>շրջա</w:t>
            </w:r>
            <w:r w:rsidRPr="00FF72FC">
              <w:rPr>
                <w:rFonts w:ascii="Sylfaen" w:hAnsi="Sylfaen"/>
                <w:sz w:val="16"/>
                <w:szCs w:val="16"/>
              </w:rPr>
              <w:softHyphen/>
            </w:r>
            <w:r w:rsidRPr="00FF72FC">
              <w:rPr>
                <w:rFonts w:ascii="Sylfaen" w:hAnsi="Sylfaen" w:cs="Sylfaen"/>
                <w:sz w:val="16"/>
                <w:szCs w:val="16"/>
              </w:rPr>
              <w:t>պտույտ</w:t>
            </w:r>
            <w:r w:rsidRPr="00FF72FC">
              <w:rPr>
                <w:rFonts w:ascii="Sylfaen" w:hAnsi="Sylfaen"/>
                <w:sz w:val="16"/>
                <w:szCs w:val="16"/>
              </w:rPr>
              <w:softHyphen/>
            </w:r>
            <w:r w:rsidRPr="00FF72FC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FF72FC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FF72FC">
              <w:rPr>
                <w:rFonts w:ascii="Sylfaen" w:hAnsi="Sylfaen" w:cs="Sylfaen"/>
                <w:sz w:val="16"/>
                <w:szCs w:val="16"/>
              </w:rPr>
              <w:t>ռո</w:t>
            </w:r>
            <w:r w:rsidRPr="00FF72FC">
              <w:rPr>
                <w:rFonts w:ascii="Sylfaen" w:hAnsi="Sylfaen"/>
                <w:sz w:val="16"/>
                <w:szCs w:val="16"/>
              </w:rPr>
              <w:softHyphen/>
            </w:r>
            <w:r w:rsidRPr="00FF72FC">
              <w:rPr>
                <w:rFonts w:ascii="Sylfaen" w:hAnsi="Sylfaen" w:cs="Sylfaen"/>
                <w:sz w:val="16"/>
                <w:szCs w:val="16"/>
              </w:rPr>
              <w:t>տացիա</w:t>
            </w:r>
            <w:r w:rsidRPr="00FF72FC">
              <w:rPr>
                <w:rFonts w:ascii="Sylfaen" w:hAnsi="Sylfaen"/>
                <w:sz w:val="16"/>
                <w:szCs w:val="16"/>
              </w:rPr>
              <w:t>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 w:cs="Sylfaen"/>
                <w:sz w:val="16"/>
                <w:szCs w:val="16"/>
              </w:rPr>
              <w:t>Արածեցման տևողություն</w:t>
            </w:r>
            <w:r w:rsidRPr="00FF72FC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FF72FC">
              <w:rPr>
                <w:rFonts w:ascii="Sylfaen" w:hAnsi="Sylfaen" w:cs="Sylfaen"/>
                <w:sz w:val="16"/>
                <w:szCs w:val="16"/>
              </w:rPr>
              <w:t>օր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 w:cs="Sylfaen"/>
                <w:sz w:val="16"/>
                <w:szCs w:val="16"/>
                <w:lang w:val="fr-FR"/>
              </w:rPr>
              <w:t>Խոզանի</w:t>
            </w:r>
            <w:r w:rsidRPr="00FF72FC">
              <w:rPr>
                <w:rFonts w:ascii="Sylfaen" w:hAnsi="Sylfaen"/>
                <w:sz w:val="16"/>
                <w:szCs w:val="16"/>
                <w:lang w:val="fr-FR"/>
              </w:rPr>
              <w:t xml:space="preserve"> </w:t>
            </w:r>
            <w:r w:rsidRPr="00FF72FC">
              <w:rPr>
                <w:rFonts w:ascii="Sylfaen" w:hAnsi="Sylfaen" w:cs="Sylfaen"/>
                <w:sz w:val="16"/>
                <w:szCs w:val="16"/>
              </w:rPr>
              <w:t>բարձր</w:t>
            </w:r>
            <w:r w:rsidRPr="00FF72FC">
              <w:rPr>
                <w:rFonts w:ascii="Sylfaen" w:hAnsi="Sylfaen"/>
                <w:sz w:val="16"/>
                <w:szCs w:val="16"/>
                <w:lang w:val="fr-FR"/>
              </w:rPr>
              <w:t>. (</w:t>
            </w:r>
            <w:r w:rsidRPr="00FF72FC">
              <w:rPr>
                <w:rFonts w:ascii="Sylfaen" w:hAnsi="Sylfaen" w:cs="Sylfaen"/>
                <w:sz w:val="16"/>
                <w:szCs w:val="16"/>
                <w:lang w:val="fr-FR"/>
              </w:rPr>
              <w:t>սմ</w:t>
            </w:r>
            <w:r w:rsidRPr="00FF72FC">
              <w:rPr>
                <w:rFonts w:ascii="Sylfaen" w:hAnsi="Sylfaen"/>
                <w:sz w:val="16"/>
                <w:szCs w:val="16"/>
                <w:lang w:val="fr-FR"/>
              </w:rPr>
              <w:t>)</w:t>
            </w:r>
          </w:p>
        </w:tc>
      </w:tr>
      <w:tr w:rsidR="002F010F" w:rsidRPr="00FF72FC" w:rsidTr="002F010F">
        <w:trPr>
          <w:trHeight w:val="59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 w:cs="Sylfaen"/>
                <w:sz w:val="16"/>
                <w:szCs w:val="16"/>
              </w:rPr>
              <w:t>Համարը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 w:cs="Sylfaen"/>
                <w:sz w:val="16"/>
                <w:szCs w:val="16"/>
              </w:rPr>
              <w:t>Անվանումը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 w:cs="Sylfaen"/>
                <w:sz w:val="16"/>
                <w:szCs w:val="16"/>
              </w:rPr>
              <w:t>Տարածքը</w:t>
            </w:r>
            <w:r w:rsidRPr="00FF72FC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FF72FC">
              <w:rPr>
                <w:rFonts w:ascii="Sylfaen" w:hAnsi="Sylfaen" w:cs="Sylfaen"/>
                <w:sz w:val="16"/>
                <w:szCs w:val="16"/>
              </w:rPr>
              <w:t>հա</w:t>
            </w: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  <w:lang w:val="hy-AM"/>
              </w:rPr>
              <w:t xml:space="preserve">I </w:t>
            </w:r>
            <w:r w:rsidRPr="00FF72FC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  <w:lang w:val="hy-AM"/>
              </w:rPr>
              <w:t xml:space="preserve">II </w:t>
            </w:r>
            <w:r w:rsidRPr="00FF72FC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bCs w:val="0"/>
                <w:sz w:val="16"/>
                <w:szCs w:val="16"/>
                <w:lang w:val="fr-FR"/>
              </w:rPr>
            </w:pPr>
            <w:r w:rsidRPr="00FF72FC">
              <w:rPr>
                <w:rFonts w:ascii="Sylfaen" w:hAnsi="Sylfaen"/>
                <w:sz w:val="16"/>
                <w:szCs w:val="16"/>
                <w:lang w:val="fr-FR"/>
              </w:rPr>
              <w:t>մուտք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  <w:lang w:val="fr-FR"/>
              </w:rPr>
              <w:t>ելք</w:t>
            </w:r>
          </w:p>
        </w:tc>
      </w:tr>
      <w:tr w:rsidR="002F010F" w:rsidRPr="00FF72FC" w:rsidTr="002F010F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Գյունեյ-2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31.57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20/04-18/05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2F010F" w:rsidRPr="00FF72FC" w:rsidTr="002F010F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Գյունեյ-3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66.35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19/05-10/06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20/09-21/10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55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12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2F010F" w:rsidRPr="00FF72FC" w:rsidTr="002F010F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Գյունեյ-4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47.0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11/06-11/07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07/09-19/09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42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4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F010F" w:rsidRPr="00FF72FC" w:rsidTr="002F010F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6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Եդի կարդաշ-1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38.19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12/07-15/08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34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16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F010F" w:rsidRPr="00FF72FC" w:rsidTr="002F010F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7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Եդի կարդաշ-2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24.37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ՈՒ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16/08-06/09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22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6</w:t>
            </w:r>
          </w:p>
        </w:tc>
      </w:tr>
      <w:tr w:rsidR="002F010F" w:rsidRPr="00FF72FC" w:rsidTr="002F010F">
        <w:trPr>
          <w:trHeight w:val="23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Այլ հողատեսքերի բուսածածք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20.0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22/10-05/11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F010F" w:rsidRPr="00FF72FC" w:rsidTr="002F010F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Հարթունենց արտեր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21.64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20/04-01/05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11/10-05/11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35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F010F" w:rsidRPr="00FF72FC" w:rsidTr="002F010F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Մարկոսի յալ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27.12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02/05-11/06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2F010F" w:rsidRPr="00FF72FC" w:rsidTr="002F010F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9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Իման արխաջ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33.01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06/09-10/10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35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F010F" w:rsidRPr="00FF72FC" w:rsidTr="002F010F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11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Գնդասար-1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63.62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12/06-05/09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85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2F010F" w:rsidRPr="00FF72FC" w:rsidTr="002F010F">
        <w:tc>
          <w:tcPr>
            <w:tcW w:w="67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22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Այլ հողատեսքերի բուսածածք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55.0</w:t>
            </w:r>
          </w:p>
        </w:tc>
        <w:tc>
          <w:tcPr>
            <w:tcW w:w="117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15/03-01/05</w:t>
            </w:r>
          </w:p>
        </w:tc>
        <w:tc>
          <w:tcPr>
            <w:tcW w:w="15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07/11-05/12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75</w:t>
            </w:r>
          </w:p>
        </w:tc>
        <w:tc>
          <w:tcPr>
            <w:tcW w:w="6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-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F010F" w:rsidRPr="00FF72FC" w:rsidTr="002F010F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Գյունեյ-1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55.86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02/05-15/06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21/10-06/11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10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</w:t>
            </w:r>
          </w:p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F010F" w:rsidRPr="00FF72FC" w:rsidTr="002F010F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Գյունեյ-3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66.35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24/08-20/10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57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F010F" w:rsidRPr="00FF72FC" w:rsidTr="002F010F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9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Իման արխաջ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33.01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16/06-25/07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2F010F" w:rsidRPr="00FF72FC" w:rsidTr="002F010F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Մարկոսի յալ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27.12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ՄԵԿ-1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26/07-23/08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FF72FC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10F" w:rsidRPr="00FF72FC" w:rsidRDefault="002F010F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FF72F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</w:tbl>
    <w:p w:rsidR="002F010F" w:rsidRPr="00FF72FC" w:rsidRDefault="002F010F" w:rsidP="002F010F">
      <w:pPr>
        <w:rPr>
          <w:rFonts w:ascii="Sylfaen" w:hAnsi="Sylfaen"/>
          <w:sz w:val="16"/>
          <w:szCs w:val="16"/>
        </w:rPr>
      </w:pPr>
      <w:r w:rsidRPr="00FF72FC">
        <w:rPr>
          <w:rFonts w:ascii="Sylfaen" w:hAnsi="Sylfaen"/>
          <w:b/>
          <w:sz w:val="16"/>
          <w:szCs w:val="16"/>
        </w:rPr>
        <w:t>Ծանոթություն</w:t>
      </w:r>
      <w:r w:rsidRPr="00FF72FC">
        <w:rPr>
          <w:rFonts w:ascii="Sylfaen" w:hAnsi="Sylfaen"/>
          <w:sz w:val="16"/>
          <w:szCs w:val="16"/>
        </w:rPr>
        <w:t>, ՈՒ- ուշ ժամկետում արածեցում:</w:t>
      </w:r>
    </w:p>
    <w:p w:rsidR="00826DE4" w:rsidRPr="00FF72FC" w:rsidRDefault="00826DE4">
      <w:pPr>
        <w:rPr>
          <w:sz w:val="16"/>
          <w:szCs w:val="16"/>
        </w:rPr>
      </w:pPr>
    </w:p>
    <w:sectPr w:rsidR="00826DE4" w:rsidRPr="00FF7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CC"/>
    <w:family w:val="swiss"/>
    <w:pitch w:val="variable"/>
    <w:sig w:usb0="00000607" w:usb1="00000000" w:usb2="00000000" w:usb3="00000000" w:csb0="0000000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CC"/>
    <w:family w:val="swiss"/>
    <w:pitch w:val="variable"/>
    <w:sig w:usb0="80000607" w:usb1="00000048" w:usb2="00000000" w:usb3="00000000" w:csb0="00000017" w:csb1="00000000"/>
  </w:font>
  <w:font w:name="Times Armenian">
    <w:panose1 w:val="02020603050405020304"/>
    <w:charset w:val="CC"/>
    <w:family w:val="roman"/>
    <w:pitch w:val="variable"/>
    <w:sig w:usb0="00000607" w:usb1="00000000" w:usb2="00000000" w:usb3="00000000" w:csb0="0000008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03516"/>
    <w:multiLevelType w:val="hybridMultilevel"/>
    <w:tmpl w:val="831405A8"/>
    <w:lvl w:ilvl="0" w:tplc="588421D6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>
    <w:nsid w:val="65AD619B"/>
    <w:multiLevelType w:val="hybridMultilevel"/>
    <w:tmpl w:val="00CE44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27"/>
    <w:rsid w:val="002E2B27"/>
    <w:rsid w:val="002F010F"/>
    <w:rsid w:val="00826DE4"/>
    <w:rsid w:val="00C05F00"/>
    <w:rsid w:val="00FF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10F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2F010F"/>
    <w:pPr>
      <w:keepNext/>
      <w:spacing w:before="240" w:after="60"/>
      <w:outlineLvl w:val="0"/>
    </w:pPr>
    <w:rPr>
      <w:rFonts w:ascii="Cambria" w:eastAsia="Times New Roman" w:hAnsi="Cambria"/>
      <w:b/>
      <w:color w:val="auto"/>
      <w:spacing w:val="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10F"/>
    <w:pPr>
      <w:keepNext/>
      <w:spacing w:before="240" w:after="60"/>
      <w:outlineLvl w:val="1"/>
    </w:pPr>
    <w:rPr>
      <w:rFonts w:ascii="Cambria" w:eastAsia="Times New Roman" w:hAnsi="Cambria"/>
      <w:b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010F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2F010F"/>
    <w:rPr>
      <w:rFonts w:ascii="Cambria" w:eastAsia="Times New Roman" w:hAnsi="Cambria" w:cs="Times New Roman"/>
      <w:b/>
      <w:bCs/>
      <w:i/>
      <w:iCs/>
      <w:color w:val="000000"/>
      <w:spacing w:val="20"/>
      <w:sz w:val="28"/>
      <w:szCs w:val="28"/>
      <w:lang w:val="x-none" w:eastAsia="x-none"/>
    </w:rPr>
  </w:style>
  <w:style w:type="character" w:styleId="a3">
    <w:name w:val="Hyperlink"/>
    <w:uiPriority w:val="99"/>
    <w:semiHidden/>
    <w:unhideWhenUsed/>
    <w:rsid w:val="002F010F"/>
    <w:rPr>
      <w:color w:val="0000FF"/>
      <w:u w:val="single"/>
    </w:rPr>
  </w:style>
  <w:style w:type="character" w:styleId="a4">
    <w:name w:val="FollowedHyperlink"/>
    <w:semiHidden/>
    <w:unhideWhenUsed/>
    <w:rsid w:val="002F010F"/>
    <w:rPr>
      <w:color w:val="800080"/>
      <w:u w:val="single"/>
    </w:rPr>
  </w:style>
  <w:style w:type="paragraph" w:styleId="a5">
    <w:name w:val="Normal (Web)"/>
    <w:basedOn w:val="a"/>
    <w:semiHidden/>
    <w:unhideWhenUsed/>
    <w:rsid w:val="002F010F"/>
    <w:pPr>
      <w:spacing w:before="100" w:beforeAutospacing="1" w:after="100" w:afterAutospacing="1"/>
    </w:pPr>
    <w:rPr>
      <w:rFonts w:eastAsia="Times New Roman"/>
      <w:bCs w:val="0"/>
      <w:color w:val="auto"/>
      <w:spacing w:val="0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2F010F"/>
    <w:pPr>
      <w:tabs>
        <w:tab w:val="right" w:leader="dot" w:pos="9630"/>
      </w:tabs>
      <w:spacing w:line="360" w:lineRule="auto"/>
      <w:ind w:right="-1"/>
      <w:jc w:val="both"/>
    </w:pPr>
    <w:rPr>
      <w:rFonts w:ascii="Sylfaen" w:hAnsi="Sylfaen" w:cs="Sylfaen"/>
      <w:noProof/>
      <w:color w:val="auto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2F010F"/>
    <w:pPr>
      <w:tabs>
        <w:tab w:val="right" w:leader="dot" w:pos="9630"/>
      </w:tabs>
      <w:spacing w:line="360" w:lineRule="auto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F010F"/>
    <w:pPr>
      <w:spacing w:after="100" w:line="276" w:lineRule="auto"/>
      <w:ind w:left="440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a6">
    <w:name w:val="footnote text"/>
    <w:basedOn w:val="a"/>
    <w:link w:val="a7"/>
    <w:uiPriority w:val="99"/>
    <w:semiHidden/>
    <w:unhideWhenUsed/>
    <w:rsid w:val="002F010F"/>
    <w:rPr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2F010F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8">
    <w:name w:val="annotation text"/>
    <w:basedOn w:val="a"/>
    <w:link w:val="a9"/>
    <w:semiHidden/>
    <w:unhideWhenUsed/>
    <w:rsid w:val="002F010F"/>
    <w:rPr>
      <w:sz w:val="20"/>
      <w:szCs w:val="20"/>
      <w:lang w:val="x-none" w:eastAsia="x-none"/>
    </w:rPr>
  </w:style>
  <w:style w:type="character" w:customStyle="1" w:styleId="a9">
    <w:name w:val="Текст примечания Знак"/>
    <w:basedOn w:val="a0"/>
    <w:link w:val="a8"/>
    <w:semiHidden/>
    <w:rsid w:val="002F010F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a">
    <w:name w:val="header"/>
    <w:basedOn w:val="a"/>
    <w:link w:val="ab"/>
    <w:semiHidden/>
    <w:unhideWhenUsed/>
    <w:rsid w:val="002F010F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semiHidden/>
    <w:rsid w:val="002F010F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2F010F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2F010F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e">
    <w:name w:val="caption"/>
    <w:basedOn w:val="a"/>
    <w:next w:val="a"/>
    <w:semiHidden/>
    <w:unhideWhenUsed/>
    <w:qFormat/>
    <w:rsid w:val="002F010F"/>
    <w:pPr>
      <w:spacing w:before="120" w:after="60" w:line="276" w:lineRule="auto"/>
    </w:pPr>
    <w:rPr>
      <w:rFonts w:ascii="Arial" w:eastAsia="Times New Roman" w:hAnsi="Arial"/>
      <w:b/>
      <w:color w:val="auto"/>
      <w:spacing w:val="0"/>
      <w:sz w:val="18"/>
      <w:szCs w:val="20"/>
      <w:lang w:val="ru-RU" w:eastAsia="ru-RU"/>
    </w:rPr>
  </w:style>
  <w:style w:type="paragraph" w:styleId="af">
    <w:name w:val="Body Text"/>
    <w:basedOn w:val="a"/>
    <w:link w:val="af0"/>
    <w:semiHidden/>
    <w:unhideWhenUsed/>
    <w:rsid w:val="002F010F"/>
    <w:pPr>
      <w:spacing w:line="408" w:lineRule="auto"/>
      <w:jc w:val="both"/>
    </w:pPr>
    <w:rPr>
      <w:rFonts w:ascii="Arial LatArm" w:eastAsia="Times New Roman" w:hAnsi="Arial LatArm"/>
      <w:bCs w:val="0"/>
      <w:color w:val="auto"/>
      <w:spacing w:val="0"/>
      <w:szCs w:val="20"/>
      <w:lang w:val="x-none" w:eastAsia="x-none"/>
    </w:rPr>
  </w:style>
  <w:style w:type="character" w:customStyle="1" w:styleId="af0">
    <w:name w:val="Основной текст Знак"/>
    <w:basedOn w:val="a0"/>
    <w:link w:val="af"/>
    <w:semiHidden/>
    <w:rsid w:val="002F010F"/>
    <w:rPr>
      <w:rFonts w:ascii="Arial LatArm" w:eastAsia="Times New Roman" w:hAnsi="Arial LatArm" w:cs="Times New Roman"/>
      <w:sz w:val="24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semiHidden/>
    <w:unhideWhenUsed/>
    <w:rsid w:val="002F010F"/>
    <w:rPr>
      <w:rFonts w:ascii="Tahoma" w:hAnsi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2F010F"/>
    <w:rPr>
      <w:rFonts w:ascii="Tahoma" w:eastAsia="Calibri" w:hAnsi="Tahoma" w:cs="Times New Roman"/>
      <w:bCs/>
      <w:color w:val="000000"/>
      <w:spacing w:val="20"/>
      <w:sz w:val="16"/>
      <w:szCs w:val="16"/>
      <w:lang w:val="en-US"/>
    </w:rPr>
  </w:style>
  <w:style w:type="paragraph" w:styleId="af3">
    <w:name w:val="annotation subject"/>
    <w:basedOn w:val="a8"/>
    <w:next w:val="a8"/>
    <w:link w:val="af4"/>
    <w:semiHidden/>
    <w:unhideWhenUsed/>
    <w:rsid w:val="002F010F"/>
    <w:rPr>
      <w:b/>
    </w:rPr>
  </w:style>
  <w:style w:type="character" w:customStyle="1" w:styleId="af4">
    <w:name w:val="Тема примечания Знак"/>
    <w:basedOn w:val="a9"/>
    <w:link w:val="af3"/>
    <w:semiHidden/>
    <w:rsid w:val="002F010F"/>
    <w:rPr>
      <w:rFonts w:ascii="Times New Roman" w:eastAsia="Calibri" w:hAnsi="Times New Roman" w:cs="Times New Roman"/>
      <w:b/>
      <w:bCs/>
      <w:color w:val="000000"/>
      <w:spacing w:val="20"/>
      <w:sz w:val="20"/>
      <w:szCs w:val="20"/>
      <w:lang w:val="x-none" w:eastAsia="x-none"/>
    </w:rPr>
  </w:style>
  <w:style w:type="paragraph" w:styleId="af5">
    <w:name w:val="Balloon Text"/>
    <w:basedOn w:val="a"/>
    <w:link w:val="af6"/>
    <w:semiHidden/>
    <w:unhideWhenUsed/>
    <w:rsid w:val="002F010F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basedOn w:val="a0"/>
    <w:link w:val="af5"/>
    <w:semiHidden/>
    <w:rsid w:val="002F010F"/>
    <w:rPr>
      <w:rFonts w:ascii="Tahoma" w:eastAsia="Calibri" w:hAnsi="Tahoma" w:cs="Times New Roman"/>
      <w:bCs/>
      <w:color w:val="000000"/>
      <w:spacing w:val="20"/>
      <w:sz w:val="16"/>
      <w:szCs w:val="16"/>
      <w:lang w:val="x-none" w:eastAsia="x-none"/>
    </w:rPr>
  </w:style>
  <w:style w:type="paragraph" w:styleId="af7">
    <w:name w:val="No Spacing"/>
    <w:uiPriority w:val="1"/>
    <w:qFormat/>
    <w:rsid w:val="002F010F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8">
    <w:name w:val="Revision"/>
    <w:uiPriority w:val="99"/>
    <w:semiHidden/>
    <w:rsid w:val="002F010F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9">
    <w:name w:val="List Paragraph"/>
    <w:basedOn w:val="a"/>
    <w:qFormat/>
    <w:rsid w:val="002F010F"/>
    <w:pPr>
      <w:spacing w:after="200" w:line="276" w:lineRule="auto"/>
      <w:ind w:left="720"/>
      <w:contextualSpacing/>
    </w:pPr>
    <w:rPr>
      <w:rFonts w:ascii="Calibri" w:eastAsia="Times New Roman" w:hAnsi="Calibri"/>
      <w:bCs w:val="0"/>
      <w:color w:val="auto"/>
      <w:spacing w:val="0"/>
      <w:sz w:val="22"/>
      <w:lang w:val="ru-RU"/>
    </w:rPr>
  </w:style>
  <w:style w:type="paragraph" w:styleId="afa">
    <w:name w:val="TOC Heading"/>
    <w:basedOn w:val="1"/>
    <w:next w:val="a"/>
    <w:uiPriority w:val="39"/>
    <w:semiHidden/>
    <w:unhideWhenUsed/>
    <w:qFormat/>
    <w:rsid w:val="002F010F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Style1Char">
    <w:name w:val="Style1 Char"/>
    <w:link w:val="Style1"/>
    <w:locked/>
    <w:rsid w:val="002F010F"/>
    <w:rPr>
      <w:rFonts w:ascii="Sylfaen" w:eastAsia="Times New Roman" w:hAnsi="Sylfaen"/>
      <w:b/>
      <w:bCs/>
      <w:color w:val="000000"/>
      <w:spacing w:val="20"/>
      <w:kern w:val="32"/>
      <w:sz w:val="24"/>
      <w:szCs w:val="28"/>
      <w:lang w:val="fr-FR"/>
    </w:rPr>
  </w:style>
  <w:style w:type="paragraph" w:customStyle="1" w:styleId="Style1">
    <w:name w:val="Style1"/>
    <w:basedOn w:val="1"/>
    <w:link w:val="Style1Char"/>
    <w:qFormat/>
    <w:rsid w:val="002F010F"/>
    <w:pPr>
      <w:spacing w:before="0" w:after="0" w:line="360" w:lineRule="auto"/>
      <w:jc w:val="center"/>
    </w:pPr>
    <w:rPr>
      <w:rFonts w:ascii="Sylfaen" w:hAnsi="Sylfaen" w:cstheme="minorBidi"/>
      <w:color w:val="000000"/>
      <w:spacing w:val="20"/>
      <w:sz w:val="24"/>
      <w:szCs w:val="28"/>
      <w:lang w:val="fr-FR"/>
    </w:rPr>
  </w:style>
  <w:style w:type="character" w:styleId="afb">
    <w:name w:val="footnote reference"/>
    <w:uiPriority w:val="99"/>
    <w:semiHidden/>
    <w:unhideWhenUsed/>
    <w:rsid w:val="002F010F"/>
    <w:rPr>
      <w:vertAlign w:val="superscript"/>
    </w:rPr>
  </w:style>
  <w:style w:type="character" w:styleId="afc">
    <w:name w:val="annotation reference"/>
    <w:semiHidden/>
    <w:unhideWhenUsed/>
    <w:rsid w:val="002F010F"/>
    <w:rPr>
      <w:sz w:val="16"/>
      <w:szCs w:val="16"/>
    </w:rPr>
  </w:style>
  <w:style w:type="character" w:customStyle="1" w:styleId="apple-converted-space">
    <w:name w:val="apple-converted-space"/>
    <w:basedOn w:val="a0"/>
    <w:rsid w:val="002F010F"/>
  </w:style>
  <w:style w:type="character" w:customStyle="1" w:styleId="apple-style-span">
    <w:name w:val="apple-style-span"/>
    <w:basedOn w:val="a0"/>
    <w:rsid w:val="002F010F"/>
  </w:style>
  <w:style w:type="character" w:customStyle="1" w:styleId="12">
    <w:name w:val="Тема примечания Знак1"/>
    <w:basedOn w:val="a9"/>
    <w:semiHidden/>
    <w:rsid w:val="002F010F"/>
    <w:rPr>
      <w:rFonts w:ascii="Times New Roman" w:eastAsia="Calibri" w:hAnsi="Times New Roman" w:cs="Times New Roman" w:hint="default"/>
      <w:b/>
      <w:bCs/>
      <w:color w:val="000000"/>
      <w:spacing w:val="20"/>
      <w:sz w:val="20"/>
      <w:szCs w:val="20"/>
      <w:lang w:val="x-none" w:eastAsia="x-none"/>
    </w:rPr>
  </w:style>
  <w:style w:type="character" w:customStyle="1" w:styleId="CommentSubjectChar1">
    <w:name w:val="Comment Subject Char1"/>
    <w:uiPriority w:val="99"/>
    <w:semiHidden/>
    <w:rsid w:val="002F010F"/>
    <w:rPr>
      <w:rFonts w:ascii="Times New Roman" w:hAnsi="Times New Roman" w:cs="Times New Roman" w:hint="default"/>
      <w:b/>
      <w:bCs/>
      <w:color w:val="000000"/>
      <w:spacing w:val="20"/>
      <w:lang w:val="x-none" w:eastAsia="x-none"/>
    </w:rPr>
  </w:style>
  <w:style w:type="table" w:styleId="afd">
    <w:name w:val="Table Grid"/>
    <w:basedOn w:val="a1"/>
    <w:uiPriority w:val="59"/>
    <w:rsid w:val="002F010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10F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2F010F"/>
    <w:pPr>
      <w:keepNext/>
      <w:spacing w:before="240" w:after="60"/>
      <w:outlineLvl w:val="0"/>
    </w:pPr>
    <w:rPr>
      <w:rFonts w:ascii="Cambria" w:eastAsia="Times New Roman" w:hAnsi="Cambria"/>
      <w:b/>
      <w:color w:val="auto"/>
      <w:spacing w:val="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10F"/>
    <w:pPr>
      <w:keepNext/>
      <w:spacing w:before="240" w:after="60"/>
      <w:outlineLvl w:val="1"/>
    </w:pPr>
    <w:rPr>
      <w:rFonts w:ascii="Cambria" w:eastAsia="Times New Roman" w:hAnsi="Cambria"/>
      <w:b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010F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2F010F"/>
    <w:rPr>
      <w:rFonts w:ascii="Cambria" w:eastAsia="Times New Roman" w:hAnsi="Cambria" w:cs="Times New Roman"/>
      <w:b/>
      <w:bCs/>
      <w:i/>
      <w:iCs/>
      <w:color w:val="000000"/>
      <w:spacing w:val="20"/>
      <w:sz w:val="28"/>
      <w:szCs w:val="28"/>
      <w:lang w:val="x-none" w:eastAsia="x-none"/>
    </w:rPr>
  </w:style>
  <w:style w:type="character" w:styleId="a3">
    <w:name w:val="Hyperlink"/>
    <w:uiPriority w:val="99"/>
    <w:semiHidden/>
    <w:unhideWhenUsed/>
    <w:rsid w:val="002F010F"/>
    <w:rPr>
      <w:color w:val="0000FF"/>
      <w:u w:val="single"/>
    </w:rPr>
  </w:style>
  <w:style w:type="character" w:styleId="a4">
    <w:name w:val="FollowedHyperlink"/>
    <w:semiHidden/>
    <w:unhideWhenUsed/>
    <w:rsid w:val="002F010F"/>
    <w:rPr>
      <w:color w:val="800080"/>
      <w:u w:val="single"/>
    </w:rPr>
  </w:style>
  <w:style w:type="paragraph" w:styleId="a5">
    <w:name w:val="Normal (Web)"/>
    <w:basedOn w:val="a"/>
    <w:semiHidden/>
    <w:unhideWhenUsed/>
    <w:rsid w:val="002F010F"/>
    <w:pPr>
      <w:spacing w:before="100" w:beforeAutospacing="1" w:after="100" w:afterAutospacing="1"/>
    </w:pPr>
    <w:rPr>
      <w:rFonts w:eastAsia="Times New Roman"/>
      <w:bCs w:val="0"/>
      <w:color w:val="auto"/>
      <w:spacing w:val="0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2F010F"/>
    <w:pPr>
      <w:tabs>
        <w:tab w:val="right" w:leader="dot" w:pos="9630"/>
      </w:tabs>
      <w:spacing w:line="360" w:lineRule="auto"/>
      <w:ind w:right="-1"/>
      <w:jc w:val="both"/>
    </w:pPr>
    <w:rPr>
      <w:rFonts w:ascii="Sylfaen" w:hAnsi="Sylfaen" w:cs="Sylfaen"/>
      <w:noProof/>
      <w:color w:val="auto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2F010F"/>
    <w:pPr>
      <w:tabs>
        <w:tab w:val="right" w:leader="dot" w:pos="9630"/>
      </w:tabs>
      <w:spacing w:line="360" w:lineRule="auto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F010F"/>
    <w:pPr>
      <w:spacing w:after="100" w:line="276" w:lineRule="auto"/>
      <w:ind w:left="440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a6">
    <w:name w:val="footnote text"/>
    <w:basedOn w:val="a"/>
    <w:link w:val="a7"/>
    <w:uiPriority w:val="99"/>
    <w:semiHidden/>
    <w:unhideWhenUsed/>
    <w:rsid w:val="002F010F"/>
    <w:rPr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2F010F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8">
    <w:name w:val="annotation text"/>
    <w:basedOn w:val="a"/>
    <w:link w:val="a9"/>
    <w:semiHidden/>
    <w:unhideWhenUsed/>
    <w:rsid w:val="002F010F"/>
    <w:rPr>
      <w:sz w:val="20"/>
      <w:szCs w:val="20"/>
      <w:lang w:val="x-none" w:eastAsia="x-none"/>
    </w:rPr>
  </w:style>
  <w:style w:type="character" w:customStyle="1" w:styleId="a9">
    <w:name w:val="Текст примечания Знак"/>
    <w:basedOn w:val="a0"/>
    <w:link w:val="a8"/>
    <w:semiHidden/>
    <w:rsid w:val="002F010F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a">
    <w:name w:val="header"/>
    <w:basedOn w:val="a"/>
    <w:link w:val="ab"/>
    <w:semiHidden/>
    <w:unhideWhenUsed/>
    <w:rsid w:val="002F010F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semiHidden/>
    <w:rsid w:val="002F010F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2F010F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2F010F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e">
    <w:name w:val="caption"/>
    <w:basedOn w:val="a"/>
    <w:next w:val="a"/>
    <w:semiHidden/>
    <w:unhideWhenUsed/>
    <w:qFormat/>
    <w:rsid w:val="002F010F"/>
    <w:pPr>
      <w:spacing w:before="120" w:after="60" w:line="276" w:lineRule="auto"/>
    </w:pPr>
    <w:rPr>
      <w:rFonts w:ascii="Arial" w:eastAsia="Times New Roman" w:hAnsi="Arial"/>
      <w:b/>
      <w:color w:val="auto"/>
      <w:spacing w:val="0"/>
      <w:sz w:val="18"/>
      <w:szCs w:val="20"/>
      <w:lang w:val="ru-RU" w:eastAsia="ru-RU"/>
    </w:rPr>
  </w:style>
  <w:style w:type="paragraph" w:styleId="af">
    <w:name w:val="Body Text"/>
    <w:basedOn w:val="a"/>
    <w:link w:val="af0"/>
    <w:semiHidden/>
    <w:unhideWhenUsed/>
    <w:rsid w:val="002F010F"/>
    <w:pPr>
      <w:spacing w:line="408" w:lineRule="auto"/>
      <w:jc w:val="both"/>
    </w:pPr>
    <w:rPr>
      <w:rFonts w:ascii="Arial LatArm" w:eastAsia="Times New Roman" w:hAnsi="Arial LatArm"/>
      <w:bCs w:val="0"/>
      <w:color w:val="auto"/>
      <w:spacing w:val="0"/>
      <w:szCs w:val="20"/>
      <w:lang w:val="x-none" w:eastAsia="x-none"/>
    </w:rPr>
  </w:style>
  <w:style w:type="character" w:customStyle="1" w:styleId="af0">
    <w:name w:val="Основной текст Знак"/>
    <w:basedOn w:val="a0"/>
    <w:link w:val="af"/>
    <w:semiHidden/>
    <w:rsid w:val="002F010F"/>
    <w:rPr>
      <w:rFonts w:ascii="Arial LatArm" w:eastAsia="Times New Roman" w:hAnsi="Arial LatArm" w:cs="Times New Roman"/>
      <w:sz w:val="24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semiHidden/>
    <w:unhideWhenUsed/>
    <w:rsid w:val="002F010F"/>
    <w:rPr>
      <w:rFonts w:ascii="Tahoma" w:hAnsi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2F010F"/>
    <w:rPr>
      <w:rFonts w:ascii="Tahoma" w:eastAsia="Calibri" w:hAnsi="Tahoma" w:cs="Times New Roman"/>
      <w:bCs/>
      <w:color w:val="000000"/>
      <w:spacing w:val="20"/>
      <w:sz w:val="16"/>
      <w:szCs w:val="16"/>
      <w:lang w:val="en-US"/>
    </w:rPr>
  </w:style>
  <w:style w:type="paragraph" w:styleId="af3">
    <w:name w:val="annotation subject"/>
    <w:basedOn w:val="a8"/>
    <w:next w:val="a8"/>
    <w:link w:val="af4"/>
    <w:semiHidden/>
    <w:unhideWhenUsed/>
    <w:rsid w:val="002F010F"/>
    <w:rPr>
      <w:b/>
    </w:rPr>
  </w:style>
  <w:style w:type="character" w:customStyle="1" w:styleId="af4">
    <w:name w:val="Тема примечания Знак"/>
    <w:basedOn w:val="a9"/>
    <w:link w:val="af3"/>
    <w:semiHidden/>
    <w:rsid w:val="002F010F"/>
    <w:rPr>
      <w:rFonts w:ascii="Times New Roman" w:eastAsia="Calibri" w:hAnsi="Times New Roman" w:cs="Times New Roman"/>
      <w:b/>
      <w:bCs/>
      <w:color w:val="000000"/>
      <w:spacing w:val="20"/>
      <w:sz w:val="20"/>
      <w:szCs w:val="20"/>
      <w:lang w:val="x-none" w:eastAsia="x-none"/>
    </w:rPr>
  </w:style>
  <w:style w:type="paragraph" w:styleId="af5">
    <w:name w:val="Balloon Text"/>
    <w:basedOn w:val="a"/>
    <w:link w:val="af6"/>
    <w:semiHidden/>
    <w:unhideWhenUsed/>
    <w:rsid w:val="002F010F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basedOn w:val="a0"/>
    <w:link w:val="af5"/>
    <w:semiHidden/>
    <w:rsid w:val="002F010F"/>
    <w:rPr>
      <w:rFonts w:ascii="Tahoma" w:eastAsia="Calibri" w:hAnsi="Tahoma" w:cs="Times New Roman"/>
      <w:bCs/>
      <w:color w:val="000000"/>
      <w:spacing w:val="20"/>
      <w:sz w:val="16"/>
      <w:szCs w:val="16"/>
      <w:lang w:val="x-none" w:eastAsia="x-none"/>
    </w:rPr>
  </w:style>
  <w:style w:type="paragraph" w:styleId="af7">
    <w:name w:val="No Spacing"/>
    <w:uiPriority w:val="1"/>
    <w:qFormat/>
    <w:rsid w:val="002F010F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8">
    <w:name w:val="Revision"/>
    <w:uiPriority w:val="99"/>
    <w:semiHidden/>
    <w:rsid w:val="002F010F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9">
    <w:name w:val="List Paragraph"/>
    <w:basedOn w:val="a"/>
    <w:qFormat/>
    <w:rsid w:val="002F010F"/>
    <w:pPr>
      <w:spacing w:after="200" w:line="276" w:lineRule="auto"/>
      <w:ind w:left="720"/>
      <w:contextualSpacing/>
    </w:pPr>
    <w:rPr>
      <w:rFonts w:ascii="Calibri" w:eastAsia="Times New Roman" w:hAnsi="Calibri"/>
      <w:bCs w:val="0"/>
      <w:color w:val="auto"/>
      <w:spacing w:val="0"/>
      <w:sz w:val="22"/>
      <w:lang w:val="ru-RU"/>
    </w:rPr>
  </w:style>
  <w:style w:type="paragraph" w:styleId="afa">
    <w:name w:val="TOC Heading"/>
    <w:basedOn w:val="1"/>
    <w:next w:val="a"/>
    <w:uiPriority w:val="39"/>
    <w:semiHidden/>
    <w:unhideWhenUsed/>
    <w:qFormat/>
    <w:rsid w:val="002F010F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Style1Char">
    <w:name w:val="Style1 Char"/>
    <w:link w:val="Style1"/>
    <w:locked/>
    <w:rsid w:val="002F010F"/>
    <w:rPr>
      <w:rFonts w:ascii="Sylfaen" w:eastAsia="Times New Roman" w:hAnsi="Sylfaen"/>
      <w:b/>
      <w:bCs/>
      <w:color w:val="000000"/>
      <w:spacing w:val="20"/>
      <w:kern w:val="32"/>
      <w:sz w:val="24"/>
      <w:szCs w:val="28"/>
      <w:lang w:val="fr-FR"/>
    </w:rPr>
  </w:style>
  <w:style w:type="paragraph" w:customStyle="1" w:styleId="Style1">
    <w:name w:val="Style1"/>
    <w:basedOn w:val="1"/>
    <w:link w:val="Style1Char"/>
    <w:qFormat/>
    <w:rsid w:val="002F010F"/>
    <w:pPr>
      <w:spacing w:before="0" w:after="0" w:line="360" w:lineRule="auto"/>
      <w:jc w:val="center"/>
    </w:pPr>
    <w:rPr>
      <w:rFonts w:ascii="Sylfaen" w:hAnsi="Sylfaen" w:cstheme="minorBidi"/>
      <w:color w:val="000000"/>
      <w:spacing w:val="20"/>
      <w:sz w:val="24"/>
      <w:szCs w:val="28"/>
      <w:lang w:val="fr-FR"/>
    </w:rPr>
  </w:style>
  <w:style w:type="character" w:styleId="afb">
    <w:name w:val="footnote reference"/>
    <w:uiPriority w:val="99"/>
    <w:semiHidden/>
    <w:unhideWhenUsed/>
    <w:rsid w:val="002F010F"/>
    <w:rPr>
      <w:vertAlign w:val="superscript"/>
    </w:rPr>
  </w:style>
  <w:style w:type="character" w:styleId="afc">
    <w:name w:val="annotation reference"/>
    <w:semiHidden/>
    <w:unhideWhenUsed/>
    <w:rsid w:val="002F010F"/>
    <w:rPr>
      <w:sz w:val="16"/>
      <w:szCs w:val="16"/>
    </w:rPr>
  </w:style>
  <w:style w:type="character" w:customStyle="1" w:styleId="apple-converted-space">
    <w:name w:val="apple-converted-space"/>
    <w:basedOn w:val="a0"/>
    <w:rsid w:val="002F010F"/>
  </w:style>
  <w:style w:type="character" w:customStyle="1" w:styleId="apple-style-span">
    <w:name w:val="apple-style-span"/>
    <w:basedOn w:val="a0"/>
    <w:rsid w:val="002F010F"/>
  </w:style>
  <w:style w:type="character" w:customStyle="1" w:styleId="12">
    <w:name w:val="Тема примечания Знак1"/>
    <w:basedOn w:val="a9"/>
    <w:semiHidden/>
    <w:rsid w:val="002F010F"/>
    <w:rPr>
      <w:rFonts w:ascii="Times New Roman" w:eastAsia="Calibri" w:hAnsi="Times New Roman" w:cs="Times New Roman" w:hint="default"/>
      <w:b/>
      <w:bCs/>
      <w:color w:val="000000"/>
      <w:spacing w:val="20"/>
      <w:sz w:val="20"/>
      <w:szCs w:val="20"/>
      <w:lang w:val="x-none" w:eastAsia="x-none"/>
    </w:rPr>
  </w:style>
  <w:style w:type="character" w:customStyle="1" w:styleId="CommentSubjectChar1">
    <w:name w:val="Comment Subject Char1"/>
    <w:uiPriority w:val="99"/>
    <w:semiHidden/>
    <w:rsid w:val="002F010F"/>
    <w:rPr>
      <w:rFonts w:ascii="Times New Roman" w:hAnsi="Times New Roman" w:cs="Times New Roman" w:hint="default"/>
      <w:b/>
      <w:bCs/>
      <w:color w:val="000000"/>
      <w:spacing w:val="20"/>
      <w:lang w:val="x-none" w:eastAsia="x-none"/>
    </w:rPr>
  </w:style>
  <w:style w:type="table" w:styleId="afd">
    <w:name w:val="Table Grid"/>
    <w:basedOn w:val="a1"/>
    <w:uiPriority w:val="59"/>
    <w:rsid w:val="002F010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8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file:///C:\Users\888\Downloads\9.%20Taratumb%20-%20&#1337;&#1377;&#1404;&#1377;&#1385;&#1400;&#1410;&#1396;&#1378;%202019%20&#1343;&#1354;.doc" TargetMode="External"/><Relationship Id="rId18" Type="http://schemas.openxmlformats.org/officeDocument/2006/relationships/hyperlink" Target="file:///C:\Users\888\Downloads\9.%20Taratumb%20-%20&#1337;&#1377;&#1404;&#1377;&#1385;&#1400;&#1410;&#1396;&#1378;%202019%20&#1343;&#1354;.doc" TargetMode="External"/><Relationship Id="rId26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hyperlink" Target="file:///C:\Users\888\Downloads\9.%20Taratumb%20-%20&#1337;&#1377;&#1404;&#1377;&#1385;&#1400;&#1410;&#1396;&#1378;%202019%20&#1343;&#1354;.doc" TargetMode="External"/><Relationship Id="rId7" Type="http://schemas.openxmlformats.org/officeDocument/2006/relationships/image" Target="media/image2.png"/><Relationship Id="rId12" Type="http://schemas.openxmlformats.org/officeDocument/2006/relationships/hyperlink" Target="file:///C:\Users\888\Downloads\9.%20Taratumb%20-%20&#1337;&#1377;&#1404;&#1377;&#1385;&#1400;&#1410;&#1396;&#1378;%202019%20&#1343;&#1354;.doc" TargetMode="External"/><Relationship Id="rId17" Type="http://schemas.openxmlformats.org/officeDocument/2006/relationships/hyperlink" Target="file:///C:\Users\888\Downloads\9.%20Taratumb%20-%20&#1337;&#1377;&#1404;&#1377;&#1385;&#1400;&#1410;&#1396;&#1378;%202019%20&#1343;&#1354;.doc" TargetMode="External"/><Relationship Id="rId25" Type="http://schemas.openxmlformats.org/officeDocument/2006/relationships/hyperlink" Target="https://ru.wikipedia.org/wiki/L.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888\Downloads\9.%20Taratumb%20-%20&#1337;&#1377;&#1404;&#1377;&#1385;&#1400;&#1410;&#1396;&#1378;%202019%20&#1343;&#1354;.doc" TargetMode="External"/><Relationship Id="rId20" Type="http://schemas.openxmlformats.org/officeDocument/2006/relationships/hyperlink" Target="file:///C:\Users\888\Downloads\9.%20Taratumb%20-%20&#1337;&#1377;&#1404;&#1377;&#1385;&#1400;&#1410;&#1396;&#1378;%202019%20&#1343;&#1354;.doc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888\Downloads\9.%20Taratumb%20-%20&#1337;&#1377;&#1404;&#1377;&#1385;&#1400;&#1410;&#1396;&#1378;%202019%20&#1343;&#1354;.doc" TargetMode="External"/><Relationship Id="rId24" Type="http://schemas.openxmlformats.org/officeDocument/2006/relationships/hyperlink" Target="file:///C:\Users\888\Downloads\9.%20Taratumb%20-%20&#1337;&#1377;&#1404;&#1377;&#1385;&#1400;&#1410;&#1396;&#1378;%202019%20&#1343;&#1354;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888\Downloads\9.%20Taratumb%20-%20&#1337;&#1377;&#1404;&#1377;&#1385;&#1400;&#1410;&#1396;&#1378;%202019%20&#1343;&#1354;.doc" TargetMode="External"/><Relationship Id="rId23" Type="http://schemas.openxmlformats.org/officeDocument/2006/relationships/hyperlink" Target="file:///C:\Users\888\Downloads\9.%20Taratumb%20-%20&#1337;&#1377;&#1404;&#1377;&#1385;&#1400;&#1410;&#1396;&#1378;%202019%20&#1343;&#1354;.doc" TargetMode="External"/><Relationship Id="rId28" Type="http://schemas.openxmlformats.org/officeDocument/2006/relationships/fontTable" Target="fontTable.xml"/><Relationship Id="rId10" Type="http://schemas.openxmlformats.org/officeDocument/2006/relationships/hyperlink" Target="file:///C:\Users\888\Downloads\9.%20Taratumb%20-%20&#1337;&#1377;&#1404;&#1377;&#1385;&#1400;&#1410;&#1396;&#1378;%202019%20&#1343;&#1354;.doc" TargetMode="External"/><Relationship Id="rId19" Type="http://schemas.openxmlformats.org/officeDocument/2006/relationships/hyperlink" Target="file:///C:\Users\888\Downloads\9.%20Taratumb%20-%20&#1337;&#1377;&#1404;&#1377;&#1385;&#1400;&#1410;&#1396;&#1378;%202019%20&#1343;&#1354;.doc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888\Downloads\9.%20Taratumb%20-%20&#1337;&#1377;&#1404;&#1377;&#1385;&#1400;&#1410;&#1396;&#1378;%202019%20&#1343;&#1354;.doc" TargetMode="External"/><Relationship Id="rId14" Type="http://schemas.openxmlformats.org/officeDocument/2006/relationships/hyperlink" Target="file:///C:\Users\888\Downloads\9.%20Taratumb%20-%20&#1337;&#1377;&#1404;&#1377;&#1385;&#1400;&#1410;&#1396;&#1378;%202019%20&#1343;&#1354;.doc" TargetMode="External"/><Relationship Id="rId22" Type="http://schemas.openxmlformats.org/officeDocument/2006/relationships/hyperlink" Target="file:///C:\Users\888\Downloads\9.%20Taratumb%20-%20&#1337;&#1377;&#1404;&#1377;&#1385;&#1400;&#1410;&#1396;&#1378;%202019%20&#1343;&#1354;.doc" TargetMode="External"/><Relationship Id="rId27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8368</Words>
  <Characters>47699</Characters>
  <Application>Microsoft Office Word</Application>
  <DocSecurity>0</DocSecurity>
  <Lines>397</Lines>
  <Paragraphs>111</Paragraphs>
  <ScaleCrop>false</ScaleCrop>
  <Company>Home</Company>
  <LinksUpToDate>false</LinksUpToDate>
  <CharactersWithSpaces>55956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5</cp:revision>
  <cp:lastPrinted>2020-02-17T14:40:00Z</cp:lastPrinted>
  <dcterms:created xsi:type="dcterms:W3CDTF">2020-02-14T14:28:00Z</dcterms:created>
  <dcterms:modified xsi:type="dcterms:W3CDTF">2020-02-17T14:40:00Z</dcterms:modified>
</cp:coreProperties>
</file>